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3109DE" w14:textId="02034110" w:rsidR="00FD1D93" w:rsidRDefault="00AB646F" w:rsidP="00AB646F">
      <w:pPr>
        <w:pStyle w:val="Heading1"/>
        <w:spacing w:after="240"/>
        <w:jc w:val="center"/>
        <w:rPr>
          <w:b/>
          <w:bCs/>
        </w:rPr>
      </w:pPr>
      <w:r w:rsidRPr="00AB646F">
        <w:rPr>
          <w:b/>
          <w:bCs/>
        </w:rPr>
        <w:t xml:space="preserve">Framework discussion document </w:t>
      </w:r>
      <w:r>
        <w:rPr>
          <w:b/>
          <w:bCs/>
        </w:rPr>
        <w:t xml:space="preserve">- veterinary in-vitro </w:t>
      </w:r>
      <w:r w:rsidR="00D52075" w:rsidRPr="0074162D">
        <w:rPr>
          <w:b/>
          <w:bCs/>
        </w:rPr>
        <w:t>Diagnostics</w:t>
      </w:r>
    </w:p>
    <w:p w14:paraId="51E3C220" w14:textId="0761E3F9" w:rsidR="00B254BA" w:rsidRPr="00B254BA" w:rsidRDefault="00B254BA" w:rsidP="00B254BA"/>
    <w:p w14:paraId="62BC0F86" w14:textId="5B0FCA80" w:rsidR="00D52075" w:rsidRDefault="00D52075" w:rsidP="0074162D">
      <w:pPr>
        <w:pStyle w:val="Heading2"/>
      </w:pPr>
      <w:r>
        <w:t>Issue summary</w:t>
      </w:r>
    </w:p>
    <w:p w14:paraId="07D87775" w14:textId="09D7AC66" w:rsidR="00D52075" w:rsidRDefault="00D52075">
      <w:r>
        <w:t>AnimalhealthEurope needs to develop an industry position on the harmonisation of regulatory control of in vitro diagnostics (</w:t>
      </w:r>
      <w:r w:rsidRPr="001D740C">
        <w:rPr>
          <w:b/>
          <w:bCs/>
        </w:rPr>
        <w:t>IVDs</w:t>
      </w:r>
      <w:r>
        <w:t>) in the EU.</w:t>
      </w:r>
    </w:p>
    <w:p w14:paraId="101DFF08" w14:textId="6E77AC76" w:rsidR="00D52075" w:rsidRDefault="00D52075" w:rsidP="0074162D">
      <w:pPr>
        <w:pStyle w:val="Heading2"/>
      </w:pPr>
      <w:bookmarkStart w:id="0" w:name="_Background_to_the"/>
      <w:bookmarkEnd w:id="0"/>
      <w:r>
        <w:t>Background to the issue</w:t>
      </w:r>
    </w:p>
    <w:p w14:paraId="378F1F7C" w14:textId="75300F96" w:rsidR="00841300" w:rsidRDefault="00D52075" w:rsidP="007F3D85">
      <w:pPr>
        <w:pStyle w:val="ListParagraph"/>
        <w:numPr>
          <w:ilvl w:val="0"/>
          <w:numId w:val="1"/>
        </w:numPr>
        <w:spacing w:after="80" w:line="240" w:lineRule="auto"/>
        <w:ind w:left="357" w:hanging="357"/>
        <w:contextualSpacing w:val="0"/>
      </w:pPr>
      <w:r>
        <w:t>IVDs is a growing segment within the product portfolios of AnimalhealthEurope member companies</w:t>
      </w:r>
      <w:r w:rsidR="00841300">
        <w:t xml:space="preserve"> (several have acquired diagnostic companies)</w:t>
      </w:r>
      <w:r>
        <w:t xml:space="preserve">; </w:t>
      </w:r>
      <w:r w:rsidR="00841300">
        <w:t>it is a growing market in both the companion animal and the livestock sectors.</w:t>
      </w:r>
    </w:p>
    <w:p w14:paraId="406286FC" w14:textId="3C4B53EA" w:rsidR="001D740C" w:rsidRPr="001D740C" w:rsidRDefault="001D740C" w:rsidP="007F3D85">
      <w:pPr>
        <w:pStyle w:val="ListParagraph"/>
        <w:numPr>
          <w:ilvl w:val="0"/>
          <w:numId w:val="1"/>
        </w:numPr>
        <w:spacing w:after="80" w:line="240" w:lineRule="auto"/>
        <w:ind w:left="357" w:hanging="357"/>
        <w:contextualSpacing w:val="0"/>
        <w:rPr>
          <w:b/>
          <w:bCs/>
        </w:rPr>
      </w:pPr>
      <w:r w:rsidRPr="001D740C">
        <w:rPr>
          <w:b/>
          <w:bCs/>
        </w:rPr>
        <w:t>There currently is no European legislation regulating diagnostics in the animal health sector</w:t>
      </w:r>
      <w:r>
        <w:rPr>
          <w:b/>
          <w:bCs/>
        </w:rPr>
        <w:t>.</w:t>
      </w:r>
    </w:p>
    <w:p w14:paraId="0D8C3947" w14:textId="461F789A" w:rsidR="00616854" w:rsidRDefault="00841300" w:rsidP="007F3D85">
      <w:pPr>
        <w:pStyle w:val="ListParagraph"/>
        <w:numPr>
          <w:ilvl w:val="0"/>
          <w:numId w:val="1"/>
        </w:numPr>
        <w:spacing w:after="80" w:line="240" w:lineRule="auto"/>
        <w:ind w:left="357" w:hanging="357"/>
        <w:contextualSpacing w:val="0"/>
      </w:pPr>
      <w:r>
        <w:t>M</w:t>
      </w:r>
      <w:r w:rsidR="00D52075">
        <w:t xml:space="preserve">ember companies </w:t>
      </w:r>
      <w:r>
        <w:t xml:space="preserve">[will] </w:t>
      </w:r>
      <w:r w:rsidR="00D52075">
        <w:t>expect AnimalhealthEurope to address issues related to the regulation of IVDs</w:t>
      </w:r>
      <w:r w:rsidR="005D0DB3">
        <w:t xml:space="preserve">; </w:t>
      </w:r>
      <w:r w:rsidR="00556E5C">
        <w:t xml:space="preserve">an EU association already exists </w:t>
      </w:r>
      <w:r w:rsidR="00616854">
        <w:t xml:space="preserve">‘Diagnostics for animals’ (run by SIMV); </w:t>
      </w:r>
      <w:proofErr w:type="spellStart"/>
      <w:r w:rsidR="00616854">
        <w:t>AhE</w:t>
      </w:r>
      <w:proofErr w:type="spellEnd"/>
      <w:r w:rsidR="00616854">
        <w:t xml:space="preserve"> activities should complement and not duplicate D4A activities. </w:t>
      </w:r>
    </w:p>
    <w:p w14:paraId="00200A68" w14:textId="30DEFF1E" w:rsidR="00D52075" w:rsidRDefault="00955ABA" w:rsidP="007F3D85">
      <w:pPr>
        <w:pStyle w:val="ListParagraph"/>
        <w:numPr>
          <w:ilvl w:val="0"/>
          <w:numId w:val="1"/>
        </w:numPr>
        <w:spacing w:after="80" w:line="240" w:lineRule="auto"/>
        <w:ind w:left="357" w:hanging="357"/>
        <w:contextualSpacing w:val="0"/>
      </w:pPr>
      <w:r>
        <w:t>5</w:t>
      </w:r>
      <w:r w:rsidR="005D0DB3">
        <w:t xml:space="preserve"> member associations </w:t>
      </w:r>
      <w:r w:rsidR="005D0DB3" w:rsidRPr="005D0DB3">
        <w:t xml:space="preserve">represent veterinary diagnostics: </w:t>
      </w:r>
      <w:proofErr w:type="spellStart"/>
      <w:r w:rsidR="005D0DB3" w:rsidRPr="005D0DB3">
        <w:t>BfT</w:t>
      </w:r>
      <w:proofErr w:type="spellEnd"/>
      <w:r w:rsidR="005D0DB3" w:rsidRPr="005D0DB3">
        <w:t xml:space="preserve"> (Germany) SIMV (France), Veterindustria (Spain)</w:t>
      </w:r>
      <w:r>
        <w:t>, POLPROWET (</w:t>
      </w:r>
      <w:r w:rsidRPr="00955ABA">
        <w:t>Poland</w:t>
      </w:r>
      <w:r>
        <w:t>) and</w:t>
      </w:r>
      <w:r w:rsidRPr="00955ABA">
        <w:t xml:space="preserve"> </w:t>
      </w:r>
      <w:r>
        <w:t>AISA (</w:t>
      </w:r>
      <w:r w:rsidRPr="00955ABA">
        <w:t>Italy</w:t>
      </w:r>
      <w:r w:rsidRPr="00955ABA">
        <w:tab/>
      </w:r>
      <w:r>
        <w:t>).</w:t>
      </w:r>
    </w:p>
    <w:p w14:paraId="660E13AB" w14:textId="1ED56E73" w:rsidR="00D52075" w:rsidRDefault="00D52075" w:rsidP="007F3D85">
      <w:pPr>
        <w:pStyle w:val="ListParagraph"/>
        <w:numPr>
          <w:ilvl w:val="0"/>
          <w:numId w:val="1"/>
        </w:numPr>
        <w:spacing w:after="80" w:line="240" w:lineRule="auto"/>
        <w:ind w:left="357" w:hanging="357"/>
        <w:contextualSpacing w:val="0"/>
      </w:pPr>
      <w:r>
        <w:t xml:space="preserve">Currently only </w:t>
      </w:r>
      <w:r w:rsidR="0016713B">
        <w:t>4</w:t>
      </w:r>
      <w:r>
        <w:t xml:space="preserve"> EU member states </w:t>
      </w:r>
      <w:r w:rsidR="00955ABA">
        <w:t>(</w:t>
      </w:r>
      <w:bookmarkStart w:id="1" w:name="_Hlk68890064"/>
      <w:r w:rsidR="00955ABA" w:rsidRPr="00955ABA">
        <w:t>Germany</w:t>
      </w:r>
      <w:r w:rsidR="00955ABA">
        <w:t xml:space="preserve">, </w:t>
      </w:r>
      <w:r w:rsidR="00955ABA" w:rsidRPr="00955ABA">
        <w:t>France</w:t>
      </w:r>
      <w:r w:rsidR="0016713B">
        <w:t xml:space="preserve">, </w:t>
      </w:r>
      <w:r w:rsidR="0016713B" w:rsidRPr="0016713B">
        <w:t xml:space="preserve">Poland </w:t>
      </w:r>
      <w:bookmarkEnd w:id="1"/>
      <w:r w:rsidR="0016713B">
        <w:t xml:space="preserve">and </w:t>
      </w:r>
      <w:r w:rsidR="00955ABA" w:rsidRPr="00955ABA">
        <w:t>Spain</w:t>
      </w:r>
      <w:r w:rsidR="0016713B">
        <w:t>)</w:t>
      </w:r>
      <w:r w:rsidR="00955ABA" w:rsidRPr="00955ABA">
        <w:t xml:space="preserve"> </w:t>
      </w:r>
      <w:r>
        <w:t xml:space="preserve">have legislation governing the regulation of </w:t>
      </w:r>
      <w:r w:rsidR="003C17ED">
        <w:t xml:space="preserve">selected (DE, FR; POL) or all (ES) </w:t>
      </w:r>
      <w:r w:rsidR="00F260D7">
        <w:t xml:space="preserve">veterinary </w:t>
      </w:r>
      <w:r>
        <w:t xml:space="preserve">IVDs. </w:t>
      </w:r>
    </w:p>
    <w:p w14:paraId="1BED68DE" w14:textId="58A24576" w:rsidR="00E11BC1" w:rsidRDefault="00E11BC1" w:rsidP="007F3D85">
      <w:pPr>
        <w:pStyle w:val="ListParagraph"/>
        <w:numPr>
          <w:ilvl w:val="0"/>
          <w:numId w:val="1"/>
        </w:numPr>
        <w:spacing w:after="80" w:line="240" w:lineRule="auto"/>
        <w:ind w:left="357" w:hanging="357"/>
        <w:contextualSpacing w:val="0"/>
      </w:pPr>
      <w:r>
        <w:t xml:space="preserve">IVD covers a range of disparate products, and different regulatory approaches may be required for each category (e.g. lab tests vs </w:t>
      </w:r>
      <w:r w:rsidR="00AE6FF2">
        <w:t>point of care (POC)</w:t>
      </w:r>
      <w:r>
        <w:t xml:space="preserve"> tests</w:t>
      </w:r>
      <w:r w:rsidR="00886F14">
        <w:t>; assays vs instrumentation</w:t>
      </w:r>
      <w:r>
        <w:t>; notifiable diseases vs other diseases)</w:t>
      </w:r>
    </w:p>
    <w:p w14:paraId="65565B20" w14:textId="12D0F82B" w:rsidR="00D52075" w:rsidRDefault="00D52075" w:rsidP="007F3D85">
      <w:pPr>
        <w:pStyle w:val="ListParagraph"/>
        <w:numPr>
          <w:ilvl w:val="0"/>
          <w:numId w:val="1"/>
        </w:numPr>
        <w:spacing w:after="80" w:line="240" w:lineRule="auto"/>
        <w:ind w:left="357" w:hanging="357"/>
        <w:contextualSpacing w:val="0"/>
      </w:pPr>
      <w:r>
        <w:t>EU Regulations govern the regulation of IVDs (and medical devices) in the human health sector</w:t>
      </w:r>
    </w:p>
    <w:p w14:paraId="0A45C29E" w14:textId="77777777" w:rsidR="00FB0706" w:rsidRPr="00FB0706" w:rsidRDefault="0085751F" w:rsidP="003A288A">
      <w:pPr>
        <w:pStyle w:val="ListParagraph"/>
        <w:numPr>
          <w:ilvl w:val="1"/>
          <w:numId w:val="1"/>
        </w:numPr>
        <w:spacing w:after="80" w:line="240" w:lineRule="auto"/>
        <w:ind w:left="851"/>
        <w:contextualSpacing w:val="0"/>
        <w:jc w:val="both"/>
        <w:rPr>
          <w:rFonts w:ascii="Trebuchet MS" w:hAnsi="Trebuchet MS"/>
          <w:sz w:val="20"/>
          <w:szCs w:val="20"/>
        </w:rPr>
      </w:pPr>
      <w:hyperlink r:id="rId7" w:history="1">
        <w:r w:rsidR="00FB0706" w:rsidRPr="00FB0706">
          <w:rPr>
            <w:rStyle w:val="Hyperlink"/>
            <w:rFonts w:ascii="Trebuchet MS" w:hAnsi="Trebuchet MS"/>
            <w:sz w:val="20"/>
            <w:szCs w:val="20"/>
          </w:rPr>
          <w:t>Regulation 2017/745</w:t>
        </w:r>
      </w:hyperlink>
      <w:r w:rsidR="00FB0706" w:rsidRPr="00FB0706">
        <w:rPr>
          <w:rFonts w:ascii="Trebuchet MS" w:hAnsi="Trebuchet MS"/>
          <w:sz w:val="20"/>
          <w:szCs w:val="20"/>
        </w:rPr>
        <w:t xml:space="preserve"> of 5 April 2017 on medical devices</w:t>
      </w:r>
    </w:p>
    <w:p w14:paraId="3147CAFE" w14:textId="1FE8FBE0" w:rsidR="00FB0706" w:rsidRPr="00FB0706" w:rsidRDefault="0085751F" w:rsidP="003A288A">
      <w:pPr>
        <w:pStyle w:val="ListParagraph"/>
        <w:numPr>
          <w:ilvl w:val="1"/>
          <w:numId w:val="1"/>
        </w:numPr>
        <w:spacing w:after="80" w:line="240" w:lineRule="auto"/>
        <w:ind w:left="851" w:hanging="357"/>
        <w:contextualSpacing w:val="0"/>
        <w:jc w:val="both"/>
        <w:rPr>
          <w:rFonts w:ascii="Trebuchet MS" w:hAnsi="Trebuchet MS"/>
          <w:sz w:val="20"/>
          <w:szCs w:val="20"/>
        </w:rPr>
      </w:pPr>
      <w:hyperlink r:id="rId8" w:history="1">
        <w:r w:rsidR="00FB0706" w:rsidRPr="00FB0706">
          <w:rPr>
            <w:rStyle w:val="Hyperlink"/>
            <w:rFonts w:ascii="Trebuchet MS" w:hAnsi="Trebuchet MS"/>
            <w:sz w:val="20"/>
            <w:szCs w:val="20"/>
          </w:rPr>
          <w:t>Regulation 2017/746</w:t>
        </w:r>
      </w:hyperlink>
      <w:r w:rsidR="00FB0706" w:rsidRPr="00FB0706">
        <w:rPr>
          <w:rFonts w:ascii="Trebuchet MS" w:hAnsi="Trebuchet MS"/>
          <w:sz w:val="20"/>
          <w:szCs w:val="20"/>
        </w:rPr>
        <w:t xml:space="preserve"> of 5 April 2017 on in vitro </w:t>
      </w:r>
      <w:bookmarkStart w:id="2" w:name="_Hlk68888409"/>
      <w:r w:rsidR="00FB0706">
        <w:rPr>
          <w:rFonts w:ascii="Trebuchet MS" w:hAnsi="Trebuchet MS"/>
          <w:sz w:val="20"/>
          <w:szCs w:val="20"/>
        </w:rPr>
        <w:t xml:space="preserve">diagnostic </w:t>
      </w:r>
      <w:bookmarkEnd w:id="2"/>
      <w:r w:rsidR="00FB0706" w:rsidRPr="00FB0706">
        <w:rPr>
          <w:rFonts w:ascii="Trebuchet MS" w:hAnsi="Trebuchet MS"/>
          <w:sz w:val="20"/>
          <w:szCs w:val="20"/>
        </w:rPr>
        <w:t>medical devices</w:t>
      </w:r>
    </w:p>
    <w:p w14:paraId="4009D6B9" w14:textId="61FDF658" w:rsidR="00D52075" w:rsidRDefault="00D52075" w:rsidP="007F3D85">
      <w:pPr>
        <w:pStyle w:val="ListParagraph"/>
        <w:numPr>
          <w:ilvl w:val="0"/>
          <w:numId w:val="1"/>
        </w:numPr>
        <w:spacing w:after="80" w:line="240" w:lineRule="auto"/>
        <w:ind w:left="357" w:hanging="357"/>
        <w:contextualSpacing w:val="0"/>
      </w:pPr>
      <w:r>
        <w:t xml:space="preserve">The issue of EU legislation to </w:t>
      </w:r>
      <w:r w:rsidRPr="00D52075">
        <w:t xml:space="preserve">govern the regulation </w:t>
      </w:r>
      <w:r>
        <w:t xml:space="preserve">of </w:t>
      </w:r>
      <w:r w:rsidRPr="00D52075">
        <w:t xml:space="preserve">veterinary IVDs </w:t>
      </w:r>
      <w:r>
        <w:t>arises periodically within the EU institutions, most recently during the review of the VMP legislation.</w:t>
      </w:r>
    </w:p>
    <w:p w14:paraId="715D2FF1" w14:textId="3C43AEEB" w:rsidR="00DE592A" w:rsidRDefault="00D52075" w:rsidP="007F3D85">
      <w:pPr>
        <w:pStyle w:val="ListParagraph"/>
        <w:numPr>
          <w:ilvl w:val="0"/>
          <w:numId w:val="1"/>
        </w:numPr>
        <w:spacing w:after="80" w:line="240" w:lineRule="auto"/>
        <w:ind w:left="357" w:hanging="357"/>
        <w:contextualSpacing w:val="0"/>
      </w:pPr>
      <w:r>
        <w:t>The Portuguese presidency (1H 2021) has voiced the idea again</w:t>
      </w:r>
      <w:r w:rsidR="00DE592A">
        <w:t xml:space="preserve"> and may put forward a proposal</w:t>
      </w:r>
      <w:r>
        <w:t>.</w:t>
      </w:r>
      <w:r w:rsidR="00DE592A">
        <w:t xml:space="preserve"> </w:t>
      </w:r>
      <w:r w:rsidR="00D73083">
        <w:t xml:space="preserve">This is likely to be supported </w:t>
      </w:r>
      <w:r w:rsidR="007D1F6F">
        <w:t>(e.g. by</w:t>
      </w:r>
      <w:r w:rsidR="00D73083">
        <w:t xml:space="preserve"> </w:t>
      </w:r>
      <w:r w:rsidR="00D73083" w:rsidRPr="00D73083">
        <w:t xml:space="preserve">Italy, Belgium, </w:t>
      </w:r>
      <w:r w:rsidR="007F3D85">
        <w:t xml:space="preserve">and </w:t>
      </w:r>
      <w:r w:rsidR="00D73083" w:rsidRPr="00D73083">
        <w:t>Greece</w:t>
      </w:r>
      <w:r w:rsidR="00D73083">
        <w:t xml:space="preserve"> </w:t>
      </w:r>
      <w:r w:rsidR="007F3D85">
        <w:t>ministries</w:t>
      </w:r>
      <w:r w:rsidR="007D1F6F">
        <w:t>); also supported by</w:t>
      </w:r>
      <w:r w:rsidR="007F3D85">
        <w:t xml:space="preserve"> industry in </w:t>
      </w:r>
      <w:r w:rsidR="007F3D85" w:rsidRPr="007F3D85">
        <w:t xml:space="preserve">Portugal, Germany (partly), France, Spain, Italy </w:t>
      </w:r>
      <w:r w:rsidR="00D73083">
        <w:t xml:space="preserve">(see </w:t>
      </w:r>
      <w:hyperlink w:anchor="_Annex_1:_CNA" w:history="1">
        <w:r w:rsidR="00D73083" w:rsidRPr="00D73083">
          <w:rPr>
            <w:rStyle w:val="Hyperlink"/>
          </w:rPr>
          <w:t>Annex 1</w:t>
        </w:r>
      </w:hyperlink>
      <w:r w:rsidR="00D73083">
        <w:t>)</w:t>
      </w:r>
      <w:r w:rsidR="007D1F6F">
        <w:t>.</w:t>
      </w:r>
    </w:p>
    <w:p w14:paraId="35C19EA1" w14:textId="7E499902" w:rsidR="007D1F6F" w:rsidRDefault="007D1F6F" w:rsidP="007D1F6F">
      <w:pPr>
        <w:pStyle w:val="ListParagraph"/>
        <w:numPr>
          <w:ilvl w:val="0"/>
          <w:numId w:val="1"/>
        </w:numPr>
        <w:spacing w:after="80" w:line="240" w:lineRule="auto"/>
      </w:pPr>
      <w:r>
        <w:t>Results of Italian survey among the EU authorities (presented at HMA in Malta in 2017):</w:t>
      </w:r>
    </w:p>
    <w:p w14:paraId="5FEF4EDE" w14:textId="3FB8E6A9" w:rsidR="007D1F6F" w:rsidRDefault="007D1F6F" w:rsidP="003A288A">
      <w:pPr>
        <w:pStyle w:val="ListParagraph"/>
        <w:numPr>
          <w:ilvl w:val="1"/>
          <w:numId w:val="1"/>
        </w:numPr>
        <w:spacing w:after="80" w:line="240" w:lineRule="auto"/>
        <w:ind w:left="851"/>
      </w:pPr>
      <w:r>
        <w:t xml:space="preserve">51% </w:t>
      </w:r>
      <w:r w:rsidR="003A288A">
        <w:t xml:space="preserve">of respondents </w:t>
      </w:r>
      <w:r>
        <w:t>did not regulate veterinary diagnostic products</w:t>
      </w:r>
    </w:p>
    <w:p w14:paraId="4BDDD557" w14:textId="35BBF11F" w:rsidR="007D1F6F" w:rsidRDefault="007D1F6F" w:rsidP="003A288A">
      <w:pPr>
        <w:pStyle w:val="ListParagraph"/>
        <w:numPr>
          <w:ilvl w:val="1"/>
          <w:numId w:val="1"/>
        </w:numPr>
        <w:spacing w:after="80" w:line="240" w:lineRule="auto"/>
        <w:ind w:left="851"/>
        <w:contextualSpacing w:val="0"/>
      </w:pPr>
      <w:r>
        <w:t xml:space="preserve">71% </w:t>
      </w:r>
      <w:r w:rsidR="003A288A">
        <w:t xml:space="preserve">of respondents </w:t>
      </w:r>
      <w:r>
        <w:t>thought that veterinary medical devices and IVDs should be regulated</w:t>
      </w:r>
    </w:p>
    <w:p w14:paraId="1D5ABE0E" w14:textId="1806B86B" w:rsidR="00616854" w:rsidRDefault="00616854" w:rsidP="007F3D85">
      <w:pPr>
        <w:pStyle w:val="ListParagraph"/>
        <w:numPr>
          <w:ilvl w:val="0"/>
          <w:numId w:val="1"/>
        </w:numPr>
        <w:spacing w:after="80" w:line="240" w:lineRule="auto"/>
        <w:ind w:left="357" w:hanging="357"/>
        <w:contextualSpacing w:val="0"/>
      </w:pPr>
      <w:r>
        <w:t>CEN has proposed to establish a technical committee for AH to develop EU harmonised standards for the quality control of diagnostic reagents</w:t>
      </w:r>
      <w:r w:rsidR="0074162D">
        <w:t xml:space="preserve"> (see </w:t>
      </w:r>
      <w:hyperlink w:anchor="_Annex_2:_Proposal" w:history="1">
        <w:r w:rsidR="0074162D" w:rsidRPr="0074162D">
          <w:rPr>
            <w:rStyle w:val="Hyperlink"/>
          </w:rPr>
          <w:t>Annex 2</w:t>
        </w:r>
      </w:hyperlink>
      <w:r w:rsidR="0074162D">
        <w:t>)</w:t>
      </w:r>
    </w:p>
    <w:p w14:paraId="2E2749B5" w14:textId="61E30798" w:rsidR="00841300" w:rsidRDefault="00841300" w:rsidP="007F3D85">
      <w:pPr>
        <w:pStyle w:val="ListParagraph"/>
        <w:numPr>
          <w:ilvl w:val="0"/>
          <w:numId w:val="1"/>
        </w:numPr>
        <w:spacing w:after="80" w:line="240" w:lineRule="auto"/>
        <w:ind w:left="357" w:hanging="357"/>
        <w:contextualSpacing w:val="0"/>
      </w:pPr>
      <w:r>
        <w:t xml:space="preserve">There is a risk that </w:t>
      </w:r>
      <w:r w:rsidRPr="00841300">
        <w:t>rules developed for the human health sector are applied</w:t>
      </w:r>
      <w:r>
        <w:t xml:space="preserve"> to animal health</w:t>
      </w:r>
      <w:r w:rsidR="00633482" w:rsidRPr="00633482">
        <w:t xml:space="preserve"> and are not appropriate</w:t>
      </w:r>
      <w:r>
        <w:t>.</w:t>
      </w:r>
    </w:p>
    <w:p w14:paraId="499AA046" w14:textId="1932BF2D" w:rsidR="00376848" w:rsidRDefault="00DE592A" w:rsidP="007F3D85">
      <w:pPr>
        <w:pStyle w:val="ListParagraph"/>
        <w:numPr>
          <w:ilvl w:val="0"/>
          <w:numId w:val="1"/>
        </w:numPr>
        <w:spacing w:after="80" w:line="240" w:lineRule="auto"/>
        <w:contextualSpacing w:val="0"/>
      </w:pPr>
      <w:r>
        <w:t>AnimalhealthEurope needs to be prepared</w:t>
      </w:r>
      <w:r w:rsidR="002F68D6">
        <w:t xml:space="preserve">; global alignment on basic principles is desirable (see </w:t>
      </w:r>
      <w:r w:rsidR="00376848">
        <w:t>HealthforAnimals</w:t>
      </w:r>
      <w:r w:rsidR="002F68D6">
        <w:t>:</w:t>
      </w:r>
      <w:r w:rsidR="00376848">
        <w:t xml:space="preserve"> “Diagnostics: Plotting a forward-looking regulatory path” Dr 1, March 2021</w:t>
      </w:r>
      <w:r w:rsidR="002F68D6">
        <w:t>)</w:t>
      </w:r>
    </w:p>
    <w:p w14:paraId="577206EB" w14:textId="3899A3DD" w:rsidR="007D1F6F" w:rsidRDefault="005D0DB3" w:rsidP="004B129F">
      <w:pPr>
        <w:pStyle w:val="ListParagraph"/>
        <w:numPr>
          <w:ilvl w:val="0"/>
          <w:numId w:val="1"/>
        </w:numPr>
        <w:spacing w:after="160" w:line="259" w:lineRule="auto"/>
        <w:ind w:left="357" w:hanging="357"/>
        <w:contextualSpacing w:val="0"/>
      </w:pPr>
      <w:r>
        <w:t>The diagnostics sector is rapidly evolving with new biomarkers and new technologies, including digital technologies, advancing the areas of point-of-care tests and precision livestock farming.</w:t>
      </w:r>
      <w:r w:rsidR="00841300">
        <w:t xml:space="preserve"> A</w:t>
      </w:r>
      <w:r w:rsidR="00841300" w:rsidRPr="00841300">
        <w:t xml:space="preserve"> portion of diagnostic work currently carried out at central veterinary laboratories will increasingly migrate to POC testing</w:t>
      </w:r>
      <w:r w:rsidR="00AE6FF2">
        <w:t>.</w:t>
      </w:r>
    </w:p>
    <w:p w14:paraId="3AE0AD81" w14:textId="1195A993" w:rsidR="00DE592A" w:rsidRPr="0074162D" w:rsidRDefault="00DE592A" w:rsidP="0074162D">
      <w:pPr>
        <w:pStyle w:val="Heading2"/>
      </w:pPr>
      <w:r w:rsidRPr="0074162D">
        <w:lastRenderedPageBreak/>
        <w:t>Scope and definitions</w:t>
      </w:r>
    </w:p>
    <w:p w14:paraId="359725CC" w14:textId="7F599808" w:rsidR="00DE592A" w:rsidRDefault="00E11BC1" w:rsidP="00DE592A">
      <w:r>
        <w:t xml:space="preserve">The </w:t>
      </w:r>
      <w:r w:rsidRPr="00955ABA">
        <w:rPr>
          <w:b/>
          <w:bCs/>
        </w:rPr>
        <w:t>scope</w:t>
      </w:r>
      <w:r>
        <w:t xml:space="preserve"> of this AnimalhealthEurope activity should be veterinary IVDs.  Digital tools connected with precision livestock farming and animal health monitoring should be a separate topic.</w:t>
      </w:r>
    </w:p>
    <w:p w14:paraId="1F3E55CC" w14:textId="382CA049" w:rsidR="00367111" w:rsidRDefault="00E11BC1" w:rsidP="005D0DB3">
      <w:r w:rsidRPr="00955ABA">
        <w:rPr>
          <w:b/>
          <w:bCs/>
        </w:rPr>
        <w:t>IVDs</w:t>
      </w:r>
      <w:r>
        <w:t xml:space="preserve"> are </w:t>
      </w:r>
      <w:r w:rsidR="00F77C73">
        <w:t xml:space="preserve">typically </w:t>
      </w:r>
      <w:r w:rsidR="00F77C73" w:rsidRPr="00F77C73">
        <w:t xml:space="preserve">testing of biological samples from individual animals </w:t>
      </w:r>
      <w:r w:rsidR="00F77C73">
        <w:t xml:space="preserve">with the purpose of </w:t>
      </w:r>
      <w:r w:rsidR="00F77C73" w:rsidRPr="00F77C73">
        <w:t>detection</w:t>
      </w:r>
      <w:r w:rsidR="00841300">
        <w:t xml:space="preserve"> of a biomarker to</w:t>
      </w:r>
      <w:r w:rsidR="00F77C73" w:rsidRPr="00F77C73">
        <w:t xml:space="preserve"> diagnos</w:t>
      </w:r>
      <w:r w:rsidR="00841300">
        <w:t>e a</w:t>
      </w:r>
      <w:r w:rsidR="00F77C73" w:rsidRPr="00F77C73">
        <w:t xml:space="preserve"> </w:t>
      </w:r>
      <w:r w:rsidR="00841300">
        <w:t xml:space="preserve">disease </w:t>
      </w:r>
      <w:r w:rsidR="00F77C73" w:rsidRPr="00F77C73">
        <w:t>or</w:t>
      </w:r>
      <w:r w:rsidR="00841300">
        <w:t xml:space="preserve"> indicate the health status of an animal.</w:t>
      </w:r>
      <w:r w:rsidR="00AE6FF2">
        <w:t xml:space="preserve">  The products can range from supply of reagents (for laboratory analysis systems) to self-contained POC devices.</w:t>
      </w:r>
      <w:r w:rsidR="00367111">
        <w:t xml:space="preserve">  </w:t>
      </w:r>
      <w:r w:rsidR="00367111" w:rsidRPr="00367111">
        <w:t xml:space="preserve">Other definitions </w:t>
      </w:r>
      <w:r w:rsidR="002F68D6">
        <w:t xml:space="preserve">in human IVD Regulation </w:t>
      </w:r>
      <w:r w:rsidR="00367111">
        <w:t xml:space="preserve">- see </w:t>
      </w:r>
      <w:hyperlink w:anchor="_Annex_3:_summary" w:history="1">
        <w:r w:rsidR="00367111" w:rsidRPr="002F68D6">
          <w:rPr>
            <w:rStyle w:val="Hyperlink"/>
          </w:rPr>
          <w:t>Annex 3</w:t>
        </w:r>
      </w:hyperlink>
      <w:r w:rsidR="002F68D6">
        <w:t>.</w:t>
      </w:r>
    </w:p>
    <w:p w14:paraId="77359EA3" w14:textId="63F0D464" w:rsidR="00E11BC1" w:rsidRDefault="00E11BC1" w:rsidP="005D0DB3">
      <w:r w:rsidRPr="00955ABA">
        <w:rPr>
          <w:b/>
          <w:bCs/>
        </w:rPr>
        <w:t>Regulatory control</w:t>
      </w:r>
      <w:r>
        <w:t xml:space="preserve"> can be defined as any method of controlling the quality of product in the marketplace, ranging </w:t>
      </w:r>
      <w:proofErr w:type="gramStart"/>
      <w:r>
        <w:t>from self-regulation,</w:t>
      </w:r>
      <w:proofErr w:type="gramEnd"/>
      <w:r>
        <w:t xml:space="preserve"> to legally binding standards with self-compliance, </w:t>
      </w:r>
      <w:r w:rsidR="00792EA1">
        <w:t xml:space="preserve">certification bodies (with/without independent audit) </w:t>
      </w:r>
      <w:r>
        <w:t xml:space="preserve">and to </w:t>
      </w:r>
      <w:r w:rsidRPr="00E11BC1">
        <w:t>legally binding standards with</w:t>
      </w:r>
      <w:r>
        <w:t xml:space="preserve"> government agency assessed compliance (registration/licence).</w:t>
      </w:r>
    </w:p>
    <w:p w14:paraId="70C1D93C" w14:textId="141F9B0D" w:rsidR="00073ECA" w:rsidRDefault="00073ECA" w:rsidP="0074162D">
      <w:pPr>
        <w:pStyle w:val="Heading2"/>
      </w:pPr>
      <w:bookmarkStart w:id="3" w:name="_Current_activities_and"/>
      <w:bookmarkEnd w:id="3"/>
      <w:r>
        <w:t xml:space="preserve">Current </w:t>
      </w:r>
      <w:r w:rsidR="005D0DB3">
        <w:t>activities</w:t>
      </w:r>
      <w:r>
        <w:t xml:space="preserve"> </w:t>
      </w:r>
      <w:r w:rsidR="00E11BC1">
        <w:t>and next steps</w:t>
      </w:r>
    </w:p>
    <w:p w14:paraId="7B1E4D5E" w14:textId="166CBAA2" w:rsidR="005D0DB3" w:rsidRDefault="00073ECA" w:rsidP="005D0DB3">
      <w:pPr>
        <w:pStyle w:val="ListParagraph"/>
        <w:numPr>
          <w:ilvl w:val="0"/>
          <w:numId w:val="3"/>
        </w:numPr>
      </w:pPr>
      <w:r>
        <w:t>CNA survey</w:t>
      </w:r>
      <w:r w:rsidR="005D0DB3" w:rsidRPr="005D0DB3">
        <w:t xml:space="preserve"> </w:t>
      </w:r>
      <w:r w:rsidR="005D0DB3">
        <w:t>t</w:t>
      </w:r>
      <w:r w:rsidR="005D0DB3" w:rsidRPr="005D0DB3">
        <w:t>o</w:t>
      </w:r>
      <w:r w:rsidR="005D0DB3">
        <w:t xml:space="preserve"> </w:t>
      </w:r>
      <w:r w:rsidR="005D0DB3" w:rsidRPr="005D0DB3">
        <w:t>map which countries in the EU have specific legislation</w:t>
      </w:r>
      <w:r w:rsidR="005D0DB3">
        <w:t xml:space="preserve"> covering veterinary</w:t>
      </w:r>
      <w:r w:rsidR="005D0DB3" w:rsidRPr="005D0DB3">
        <w:t xml:space="preserve"> </w:t>
      </w:r>
      <w:r w:rsidR="005D0DB3">
        <w:t>IVD</w:t>
      </w:r>
      <w:r w:rsidR="005D0DB3" w:rsidRPr="005D0DB3">
        <w:t xml:space="preserve">s </w:t>
      </w:r>
      <w:r w:rsidR="0016713B">
        <w:t xml:space="preserve">(done - see </w:t>
      </w:r>
      <w:hyperlink w:anchor="Annex1" w:history="1">
        <w:r w:rsidR="00FB0706">
          <w:rPr>
            <w:rStyle w:val="Hyperlink"/>
          </w:rPr>
          <w:t>A</w:t>
        </w:r>
        <w:r w:rsidR="0016713B" w:rsidRPr="0016713B">
          <w:rPr>
            <w:rStyle w:val="Hyperlink"/>
          </w:rPr>
          <w:t>nnex 1</w:t>
        </w:r>
      </w:hyperlink>
      <w:r w:rsidR="0016713B">
        <w:t xml:space="preserve"> for a summary)</w:t>
      </w:r>
    </w:p>
    <w:p w14:paraId="7357BBD2" w14:textId="4C6825F0" w:rsidR="005D0DB3" w:rsidRDefault="005D0DB3" w:rsidP="005D0DB3">
      <w:pPr>
        <w:pStyle w:val="ListParagraph"/>
        <w:numPr>
          <w:ilvl w:val="0"/>
          <w:numId w:val="3"/>
        </w:numPr>
      </w:pPr>
      <w:r>
        <w:t xml:space="preserve">Analyse the current legislation for the human health sector “medical devices” and </w:t>
      </w:r>
      <w:r w:rsidR="0016713B">
        <w:t>“</w:t>
      </w:r>
      <w:r>
        <w:t xml:space="preserve">IVD medical devices” </w:t>
      </w:r>
      <w:r w:rsidR="00FB0706">
        <w:t>(</w:t>
      </w:r>
      <w:hyperlink w:anchor="_Annex_3:_summary" w:history="1">
        <w:r w:rsidR="00FB0706" w:rsidRPr="00FB0706">
          <w:rPr>
            <w:rStyle w:val="Hyperlink"/>
          </w:rPr>
          <w:t>Annex 3</w:t>
        </w:r>
      </w:hyperlink>
      <w:r w:rsidR="00FB0706">
        <w:t xml:space="preserve">) </w:t>
      </w:r>
      <w:r>
        <w:t xml:space="preserve">and the current veterinary IVD legislation in DE, ES and </w:t>
      </w:r>
      <w:r w:rsidR="00742BB5">
        <w:t xml:space="preserve">POL </w:t>
      </w:r>
      <w:r w:rsidR="00FB0706">
        <w:t>(</w:t>
      </w:r>
      <w:hyperlink w:anchor="_Annex_4:_National" w:history="1">
        <w:r w:rsidR="00FB0706" w:rsidRPr="00D61166">
          <w:rPr>
            <w:rStyle w:val="Hyperlink"/>
          </w:rPr>
          <w:t>Annex 4</w:t>
        </w:r>
      </w:hyperlink>
      <w:r w:rsidR="00FB0706">
        <w:t>)</w:t>
      </w:r>
      <w:r>
        <w:t xml:space="preserve">. Evaluate the positives and negatives, and lessons that can be drawn. </w:t>
      </w:r>
    </w:p>
    <w:p w14:paraId="6FF92A36" w14:textId="31FD14CF" w:rsidR="00073ECA" w:rsidRDefault="005D0DB3" w:rsidP="00073ECA">
      <w:pPr>
        <w:pStyle w:val="ListParagraph"/>
        <w:numPr>
          <w:ilvl w:val="0"/>
          <w:numId w:val="2"/>
        </w:numPr>
      </w:pPr>
      <w:r>
        <w:t>Assess whether the veterinary sector would also benefit from a harmonised EU set of rules for IVDs</w:t>
      </w:r>
      <w:r w:rsidR="00E11BC1">
        <w:t xml:space="preserve">, and for each category of IVDs, what level of regulatory control would be suitable. </w:t>
      </w:r>
    </w:p>
    <w:p w14:paraId="2017C479" w14:textId="010D2F72" w:rsidR="00E11BC1" w:rsidRDefault="00E11BC1" w:rsidP="00073ECA">
      <w:pPr>
        <w:pStyle w:val="ListParagraph"/>
        <w:numPr>
          <w:ilvl w:val="0"/>
          <w:numId w:val="2"/>
        </w:numPr>
      </w:pPr>
      <w:r>
        <w:t xml:space="preserve">Prepare a proposed position paper </w:t>
      </w:r>
      <w:r w:rsidR="00841300">
        <w:t xml:space="preserve">on a “fit-for-purpose” regulatory system for AH IVDs </w:t>
      </w:r>
      <w:r>
        <w:t>and circulate internally for comment.</w:t>
      </w:r>
    </w:p>
    <w:p w14:paraId="5F02AF66" w14:textId="79BE3FBB" w:rsidR="00955ABA" w:rsidRDefault="00FB0706" w:rsidP="00FB0706">
      <w:pPr>
        <w:pStyle w:val="Heading2"/>
      </w:pPr>
      <w:r>
        <w:t>Human legislation on IVDs</w:t>
      </w:r>
    </w:p>
    <w:p w14:paraId="129FF2E1" w14:textId="726BD7D3" w:rsidR="00FB0706" w:rsidRDefault="00FB0706" w:rsidP="00FB0706">
      <w:r>
        <w:t>A comprehensive system of certification through MS registered notified bodies, a certification mark on the packaging, comprehensive set of manufacturer obligations (including pharmacovigilance)</w:t>
      </w:r>
      <w:r w:rsidR="00D61166">
        <w:t xml:space="preserve">, a traceability system using unique ID numbers, a EUDRAMED database containing: </w:t>
      </w:r>
      <w:r w:rsidR="00D61166" w:rsidRPr="00D61166">
        <w:t xml:space="preserve">a) registration of devices (b) the UDI-database (c) registration of economic operators (d) notified bodies and </w:t>
      </w:r>
      <w:r w:rsidR="00D61166">
        <w:t>issued</w:t>
      </w:r>
      <w:r w:rsidR="00D61166" w:rsidRPr="00D61166">
        <w:t xml:space="preserve"> certificates (e) clinical investigations; (f) vigilance and post-market surveillance.</w:t>
      </w:r>
    </w:p>
    <w:p w14:paraId="52C8F443" w14:textId="10A0EF5E" w:rsidR="00D73083" w:rsidRDefault="00D73083" w:rsidP="00D61166">
      <w:pPr>
        <w:pStyle w:val="Heading2"/>
      </w:pPr>
      <w:r>
        <w:t>EU legislation</w:t>
      </w:r>
    </w:p>
    <w:p w14:paraId="537022DB" w14:textId="77777777" w:rsidR="00D73083" w:rsidRDefault="00D73083" w:rsidP="00D73083">
      <w:pPr>
        <w:spacing w:after="0"/>
      </w:pPr>
      <w:r>
        <w:t xml:space="preserve">There is no EU legislation specifically on </w:t>
      </w:r>
      <w:r w:rsidRPr="00D73083">
        <w:t xml:space="preserve">Veterinary </w:t>
      </w:r>
      <w:r>
        <w:t>IVDs; but</w:t>
      </w:r>
      <w:r w:rsidRPr="00D73083">
        <w:t xml:space="preserve"> </w:t>
      </w:r>
      <w:r>
        <w:t>products</w:t>
      </w:r>
      <w:r w:rsidRPr="00D73083">
        <w:t xml:space="preserve"> need to comply with</w:t>
      </w:r>
      <w:r>
        <w:t xml:space="preserve">: </w:t>
      </w:r>
    </w:p>
    <w:p w14:paraId="454D96D6" w14:textId="6E1B79C6" w:rsidR="00D73083" w:rsidRDefault="00D73083" w:rsidP="00D73083">
      <w:pPr>
        <w:pStyle w:val="ListParagraph"/>
        <w:numPr>
          <w:ilvl w:val="0"/>
          <w:numId w:val="18"/>
        </w:numPr>
      </w:pPr>
      <w:r w:rsidRPr="00D73083">
        <w:t xml:space="preserve">Directive 85/374/EEC on product liability </w:t>
      </w:r>
    </w:p>
    <w:p w14:paraId="509DFCB4" w14:textId="48227CD3" w:rsidR="00D73083" w:rsidRDefault="00D73083" w:rsidP="00D73083">
      <w:pPr>
        <w:pStyle w:val="ListParagraph"/>
        <w:numPr>
          <w:ilvl w:val="0"/>
          <w:numId w:val="18"/>
        </w:numPr>
      </w:pPr>
      <w:r w:rsidRPr="00D73083">
        <w:t xml:space="preserve">Directive 2001/95/EC on general product safety </w:t>
      </w:r>
    </w:p>
    <w:p w14:paraId="591DE660" w14:textId="77777777" w:rsidR="00B264AC" w:rsidRDefault="00B264AC" w:rsidP="00D73083">
      <w:r>
        <w:t>There is also a raft of EU legislation governing the safety of electrical/electronic equipment.  This is discussed later.</w:t>
      </w:r>
    </w:p>
    <w:p w14:paraId="2E43B7E8" w14:textId="6026FD1C" w:rsidR="00D61166" w:rsidRDefault="00D61166" w:rsidP="00D61166">
      <w:pPr>
        <w:pStyle w:val="Heading2"/>
      </w:pPr>
      <w:r>
        <w:t>National legislation on veterinary IVDs</w:t>
      </w:r>
    </w:p>
    <w:p w14:paraId="62E6CCBB" w14:textId="6C335578" w:rsidR="00D61166" w:rsidRDefault="00C26204" w:rsidP="00FB0706">
      <w:r>
        <w:t xml:space="preserve">See Annex 4 for </w:t>
      </w:r>
      <w:r w:rsidRPr="00C26204">
        <w:t xml:space="preserve">Germany, Poland and Spain </w:t>
      </w:r>
      <w:r>
        <w:t>(</w:t>
      </w:r>
      <w:r w:rsidRPr="00C26204">
        <w:t>France</w:t>
      </w:r>
      <w:r>
        <w:t xml:space="preserve"> tb</w:t>
      </w:r>
      <w:r w:rsidR="00755612">
        <w:t>c</w:t>
      </w:r>
      <w:r>
        <w:t>)</w:t>
      </w:r>
    </w:p>
    <w:p w14:paraId="7E265F5C" w14:textId="4023B74A" w:rsidR="00B161B1" w:rsidRDefault="00B161B1" w:rsidP="00755612">
      <w:pPr>
        <w:pStyle w:val="Heading2"/>
      </w:pPr>
      <w:r>
        <w:t xml:space="preserve">CEN Technical Committee on Animal Health </w:t>
      </w:r>
      <w:r w:rsidR="00755612">
        <w:t>[diagnostics]</w:t>
      </w:r>
    </w:p>
    <w:p w14:paraId="449300AD" w14:textId="77777777" w:rsidR="00755612" w:rsidRDefault="00755612" w:rsidP="00755612">
      <w:r>
        <w:t xml:space="preserve">AnimalhealthEurope should develop a close working relationship with this new committee. </w:t>
      </w:r>
      <w:r w:rsidRPr="00755612">
        <w:t>This might be a good strategic move with a view to our global harmonisation/regulatory convergence goals.</w:t>
      </w:r>
    </w:p>
    <w:p w14:paraId="0A79ADE1" w14:textId="3328E770" w:rsidR="00755612" w:rsidRDefault="00755612" w:rsidP="00755612">
      <w:r>
        <w:t>Manufacturing quality oversight is an important aspect of safety and quality for diagnostics</w:t>
      </w:r>
      <w:r w:rsidRPr="00755612">
        <w:t xml:space="preserve"> </w:t>
      </w:r>
      <w:r>
        <w:t xml:space="preserve">(e.g. compliance with ISO certification), and should be separated from regulatory approval of a safe and efficacious product. </w:t>
      </w:r>
    </w:p>
    <w:p w14:paraId="6C660D98" w14:textId="0EFB83DA" w:rsidR="007D1F6F" w:rsidRDefault="007D1F6F" w:rsidP="00755612"/>
    <w:p w14:paraId="796E2532" w14:textId="345B96F7" w:rsidR="00955ABA" w:rsidRDefault="00955ABA" w:rsidP="00367111">
      <w:pPr>
        <w:pStyle w:val="Heading2"/>
      </w:pPr>
      <w:r>
        <w:lastRenderedPageBreak/>
        <w:t>Industry preferences</w:t>
      </w:r>
    </w:p>
    <w:p w14:paraId="7DC21356" w14:textId="77777777" w:rsidR="00556E5C" w:rsidRDefault="00955ABA" w:rsidP="00792EA1">
      <w:pPr>
        <w:pStyle w:val="ListParagraph"/>
        <w:numPr>
          <w:ilvl w:val="0"/>
          <w:numId w:val="6"/>
        </w:numPr>
        <w:spacing w:after="80" w:line="240" w:lineRule="auto"/>
        <w:ind w:left="425" w:hanging="357"/>
        <w:contextualSpacing w:val="0"/>
      </w:pPr>
      <w:r w:rsidRPr="00955ABA">
        <w:t>Some members support to have a regulated market</w:t>
      </w:r>
      <w:r w:rsidR="00556E5C">
        <w:t xml:space="preserve"> and </w:t>
      </w:r>
      <w:r w:rsidR="00556E5C" w:rsidRPr="00556E5C">
        <w:t xml:space="preserve">for diagnostics to meet a minimum standard (e.g. CE label </w:t>
      </w:r>
      <w:r w:rsidR="00556E5C">
        <w:t xml:space="preserve">/ </w:t>
      </w:r>
      <w:r w:rsidR="00556E5C" w:rsidRPr="00556E5C">
        <w:t xml:space="preserve">quality stamp on it that it works). </w:t>
      </w:r>
    </w:p>
    <w:p w14:paraId="19ADD1E7" w14:textId="361097B7" w:rsidR="00955ABA" w:rsidRDefault="00556E5C" w:rsidP="00792EA1">
      <w:pPr>
        <w:pStyle w:val="ListParagraph"/>
        <w:numPr>
          <w:ilvl w:val="0"/>
          <w:numId w:val="6"/>
        </w:numPr>
        <w:spacing w:after="80" w:line="240" w:lineRule="auto"/>
        <w:ind w:left="425" w:hanging="357"/>
        <w:contextualSpacing w:val="0"/>
      </w:pPr>
      <w:r w:rsidRPr="00556E5C">
        <w:t>A legislative framework would help to clean up the market</w:t>
      </w:r>
      <w:r w:rsidR="00421326">
        <w:t xml:space="preserve"> and </w:t>
      </w:r>
      <w:r w:rsidR="00A66D09">
        <w:t xml:space="preserve">could </w:t>
      </w:r>
      <w:r w:rsidR="00421326">
        <w:t xml:space="preserve">deliver other benefits (such </w:t>
      </w:r>
      <w:r w:rsidR="00742BB5">
        <w:t>technical data protection promoting investment and innovation</w:t>
      </w:r>
      <w:r w:rsidR="00421326">
        <w:t>)</w:t>
      </w:r>
      <w:r w:rsidR="00742BB5">
        <w:t>.</w:t>
      </w:r>
    </w:p>
    <w:p w14:paraId="623F8A20" w14:textId="0DA9B86E" w:rsidR="00556E5C" w:rsidRDefault="00556E5C" w:rsidP="00792EA1">
      <w:pPr>
        <w:pStyle w:val="ListParagraph"/>
        <w:numPr>
          <w:ilvl w:val="0"/>
          <w:numId w:val="6"/>
        </w:numPr>
        <w:spacing w:after="80" w:line="240" w:lineRule="auto"/>
        <w:ind w:left="425" w:hanging="357"/>
        <w:contextualSpacing w:val="0"/>
      </w:pPr>
      <w:r>
        <w:t xml:space="preserve">A harmonised approach at EU level, </w:t>
      </w:r>
      <w:r w:rsidR="00A66D09" w:rsidRPr="00A66D09">
        <w:t xml:space="preserve">adapted to the needs of the veterinary sector </w:t>
      </w:r>
      <w:r>
        <w:t>and not ‘highest-denominator’ or human copy-cat</w:t>
      </w:r>
      <w:r w:rsidR="00A66D09">
        <w:t xml:space="preserve">, </w:t>
      </w:r>
      <w:r w:rsidR="00A66D09" w:rsidRPr="00A66D09">
        <w:t>and flexible enough to allow for technological advancements</w:t>
      </w:r>
      <w:r w:rsidR="00A66D09">
        <w:t>.</w:t>
      </w:r>
    </w:p>
    <w:p w14:paraId="09E77239" w14:textId="57CD1C38" w:rsidR="00556E5C" w:rsidRDefault="00556E5C" w:rsidP="00792EA1">
      <w:pPr>
        <w:pStyle w:val="ListParagraph"/>
        <w:numPr>
          <w:ilvl w:val="0"/>
          <w:numId w:val="6"/>
        </w:numPr>
        <w:spacing w:after="80" w:line="240" w:lineRule="auto"/>
        <w:ind w:left="425" w:hanging="357"/>
        <w:contextualSpacing w:val="0"/>
      </w:pPr>
      <w:r>
        <w:t>Some members do not want additional regulatory control at EU level</w:t>
      </w:r>
      <w:r w:rsidR="00792EA1">
        <w:t xml:space="preserve"> (but it may be coming) </w:t>
      </w:r>
    </w:p>
    <w:p w14:paraId="72C06310" w14:textId="69AC20DF" w:rsidR="00D5513B" w:rsidRDefault="00D5513B" w:rsidP="00D5513B">
      <w:pPr>
        <w:pStyle w:val="ListParagraph"/>
        <w:numPr>
          <w:ilvl w:val="0"/>
          <w:numId w:val="6"/>
        </w:numPr>
        <w:ind w:left="426"/>
      </w:pPr>
      <w:r w:rsidRPr="00D5513B">
        <w:t xml:space="preserve">Close alignment of approach with that of </w:t>
      </w:r>
      <w:r>
        <w:t>HealthforAnimals is important</w:t>
      </w:r>
      <w:r w:rsidRPr="00D5513B">
        <w:t>, e.g. elaboration of definitions, impact/risk categories, differentiated approach, etc.</w:t>
      </w:r>
    </w:p>
    <w:p w14:paraId="46082385" w14:textId="77777777" w:rsidR="007D1F6F" w:rsidRDefault="007D1F6F" w:rsidP="007D1F6F">
      <w:pPr>
        <w:spacing w:after="80" w:line="240" w:lineRule="auto"/>
      </w:pPr>
    </w:p>
    <w:p w14:paraId="7F052F0B" w14:textId="7D351595" w:rsidR="00367111" w:rsidRDefault="00367111" w:rsidP="00367111">
      <w:pPr>
        <w:pStyle w:val="Heading2"/>
      </w:pPr>
      <w:r>
        <w:t>Potential position statements / principles concerning veterinary IVDs</w:t>
      </w:r>
    </w:p>
    <w:p w14:paraId="534032FE" w14:textId="77777777" w:rsidR="00742BB5" w:rsidRDefault="00742BB5" w:rsidP="00742BB5">
      <w:pPr>
        <w:pStyle w:val="ListParagraph"/>
        <w:numPr>
          <w:ilvl w:val="0"/>
          <w:numId w:val="6"/>
        </w:numPr>
        <w:spacing w:after="80" w:line="240" w:lineRule="auto"/>
        <w:ind w:left="425" w:hanging="357"/>
        <w:contextualSpacing w:val="0"/>
      </w:pPr>
      <w:r>
        <w:t xml:space="preserve">The goal of the EU legislation should be to promote the access to care, sustainability, compliance and improved animal care that diagnostics can promote. </w:t>
      </w:r>
    </w:p>
    <w:p w14:paraId="58B08020" w14:textId="18BCC602" w:rsidR="00792EA1" w:rsidRDefault="00792EA1" w:rsidP="00792EA1">
      <w:pPr>
        <w:pStyle w:val="ListParagraph"/>
        <w:numPr>
          <w:ilvl w:val="0"/>
          <w:numId w:val="6"/>
        </w:numPr>
        <w:spacing w:after="80" w:line="240" w:lineRule="auto"/>
        <w:ind w:left="425" w:hanging="357"/>
        <w:contextualSpacing w:val="0"/>
      </w:pPr>
      <w:r>
        <w:t>The level of regulatory control should</w:t>
      </w:r>
      <w:r w:rsidR="00742BB5" w:rsidRPr="00742BB5">
        <w:t xml:space="preserve"> be proportionate and</w:t>
      </w:r>
      <w:r>
        <w:t xml:space="preserve"> reflect the potential impact on animal health or public health (e.g. notifiable diseases, zoonotic diseases)</w:t>
      </w:r>
      <w:r w:rsidR="003417B4" w:rsidRPr="003417B4">
        <w:t xml:space="preserve"> and should follow the “Better </w:t>
      </w:r>
      <w:r w:rsidR="00A66D09">
        <w:t>R</w:t>
      </w:r>
      <w:r w:rsidR="003417B4" w:rsidRPr="003417B4">
        <w:t>egulation” principles.</w:t>
      </w:r>
    </w:p>
    <w:p w14:paraId="0F7353B4" w14:textId="77777777" w:rsidR="00B264AC" w:rsidRDefault="00792EA1" w:rsidP="00A3078D">
      <w:pPr>
        <w:pStyle w:val="ListParagraph"/>
        <w:numPr>
          <w:ilvl w:val="0"/>
          <w:numId w:val="6"/>
        </w:numPr>
        <w:spacing w:after="80" w:line="240" w:lineRule="auto"/>
        <w:ind w:left="425" w:hanging="357"/>
        <w:contextualSpacing w:val="0"/>
      </w:pPr>
      <w:r>
        <w:t xml:space="preserve">There should be differentiation between </w:t>
      </w:r>
      <w:r w:rsidR="00A66D09">
        <w:t xml:space="preserve">types of tests following an </w:t>
      </w:r>
      <w:r w:rsidR="00A66D09" w:rsidRPr="00A66D09">
        <w:t>impact/risk assessment</w:t>
      </w:r>
      <w:r w:rsidR="00A66D09">
        <w:t xml:space="preserve">.  For example, </w:t>
      </w:r>
      <w:r w:rsidR="00A66D09" w:rsidRPr="00A66D09">
        <w:t xml:space="preserve"> </w:t>
      </w:r>
      <w:r>
        <w:t xml:space="preserve">qualitative tests and quantitative tests; </w:t>
      </w:r>
      <w:r w:rsidR="00A66D09" w:rsidRPr="00A66D09">
        <w:t>predictive and monitoring</w:t>
      </w:r>
      <w:r w:rsidR="00A66D09">
        <w:t xml:space="preserve"> and </w:t>
      </w:r>
      <w:r w:rsidR="00A66D09" w:rsidRPr="00A66D09">
        <w:t>confirmatory diagnostics</w:t>
      </w:r>
      <w:r w:rsidR="00A66D09">
        <w:t>;</w:t>
      </w:r>
      <w:r w:rsidR="00A66D09" w:rsidRPr="00A66D09">
        <w:t xml:space="preserve"> </w:t>
      </w:r>
      <w:r>
        <w:t xml:space="preserve">laboratory </w:t>
      </w:r>
      <w:proofErr w:type="spellStart"/>
      <w:r>
        <w:t>systems+reagents</w:t>
      </w:r>
      <w:proofErr w:type="spellEnd"/>
      <w:r w:rsidR="00A66D09">
        <w:t xml:space="preserve"> </w:t>
      </w:r>
      <w:r>
        <w:t>and POCs</w:t>
      </w:r>
      <w:r w:rsidR="00A66D09">
        <w:t xml:space="preserve">; biomarkers for disease </w:t>
      </w:r>
      <w:r w:rsidR="00B264AC">
        <w:t>and biomarkers for health status</w:t>
      </w:r>
      <w:r w:rsidR="00A66D09">
        <w:t xml:space="preserve">.  </w:t>
      </w:r>
    </w:p>
    <w:p w14:paraId="39741E92" w14:textId="7893D7C2" w:rsidR="00792EA1" w:rsidRDefault="00A66D09" w:rsidP="00A3078D">
      <w:pPr>
        <w:pStyle w:val="ListParagraph"/>
        <w:numPr>
          <w:ilvl w:val="0"/>
          <w:numId w:val="6"/>
        </w:numPr>
        <w:spacing w:after="80" w:line="240" w:lineRule="auto"/>
        <w:ind w:left="425" w:hanging="357"/>
        <w:contextualSpacing w:val="0"/>
      </w:pPr>
      <w:r>
        <w:t xml:space="preserve">Consideration needs to be given whether there is a need to differentiate between </w:t>
      </w:r>
      <w:r w:rsidR="00792EA1">
        <w:t>companion animals and food-producing animals separately</w:t>
      </w:r>
      <w:r w:rsidR="00B264AC">
        <w:t>, or between the level of training and education of the owners</w:t>
      </w:r>
      <w:r w:rsidR="00792EA1">
        <w:t xml:space="preserve"> (</w:t>
      </w:r>
      <w:r w:rsidR="00B264AC">
        <w:t xml:space="preserve">for example, </w:t>
      </w:r>
      <w:r w:rsidR="00B264AC" w:rsidRPr="00B264AC">
        <w:t xml:space="preserve">the owner capability </w:t>
      </w:r>
      <w:r w:rsidR="00B264AC">
        <w:t xml:space="preserve">and </w:t>
      </w:r>
      <w:r w:rsidR="00B264AC" w:rsidRPr="00B264AC">
        <w:t>type of samples needed (</w:t>
      </w:r>
      <w:r w:rsidR="00B264AC">
        <w:t xml:space="preserve">faeces, </w:t>
      </w:r>
      <w:r w:rsidR="00B264AC" w:rsidRPr="00B264AC">
        <w:t>blood</w:t>
      </w:r>
      <w:r w:rsidR="00B264AC">
        <w:t>,</w:t>
      </w:r>
      <w:r w:rsidR="00B264AC" w:rsidRPr="00B264AC">
        <w:t xml:space="preserve"> milk)</w:t>
      </w:r>
      <w:r w:rsidR="00792EA1">
        <w:t>)</w:t>
      </w:r>
    </w:p>
    <w:p w14:paraId="7696E8C7" w14:textId="55141207" w:rsidR="00742BB5" w:rsidRDefault="00742BB5" w:rsidP="003417B4">
      <w:pPr>
        <w:pStyle w:val="ListParagraph"/>
        <w:numPr>
          <w:ilvl w:val="0"/>
          <w:numId w:val="6"/>
        </w:numPr>
        <w:spacing w:after="80" w:line="240" w:lineRule="auto"/>
        <w:ind w:left="426"/>
      </w:pPr>
      <w:r>
        <w:t>The legislation should include definitions and set out a framework (rather than details) for requirements according to what the inputs are (biological samples, electronic data, etc.), the outputs (qualitative or quantitative measure, specific diagnosis, etc.) and how the data is used (by a veterinarian, to flag risk, by an animal caretaker, etc.).</w:t>
      </w:r>
    </w:p>
    <w:p w14:paraId="166D19D3" w14:textId="77777777" w:rsidR="00742BB5" w:rsidRDefault="00742BB5" w:rsidP="00B161B1">
      <w:pPr>
        <w:pStyle w:val="ListParagraph"/>
        <w:numPr>
          <w:ilvl w:val="0"/>
          <w:numId w:val="6"/>
        </w:numPr>
        <w:spacing w:after="80" w:line="240" w:lineRule="auto"/>
        <w:ind w:left="426"/>
      </w:pPr>
      <w:r>
        <w:t>A suitable transition period will be required for IVDs already on the EU market</w:t>
      </w:r>
    </w:p>
    <w:p w14:paraId="72D642C6" w14:textId="77777777" w:rsidR="003417B4" w:rsidRDefault="003417B4" w:rsidP="00B264AC">
      <w:pPr>
        <w:pStyle w:val="ListParagraph"/>
        <w:numPr>
          <w:ilvl w:val="0"/>
          <w:numId w:val="6"/>
        </w:numPr>
        <w:spacing w:after="80" w:line="240" w:lineRule="auto"/>
        <w:ind w:left="426"/>
      </w:pPr>
      <w:r>
        <w:t>Approaches need to appropriately consider the investments that companies make, taking into consideration the intellectual property of companies.</w:t>
      </w:r>
    </w:p>
    <w:p w14:paraId="20CC949A" w14:textId="45A298B9" w:rsidR="003417B4" w:rsidRDefault="003417B4" w:rsidP="003417B4">
      <w:pPr>
        <w:pStyle w:val="ListParagraph"/>
        <w:numPr>
          <w:ilvl w:val="0"/>
          <w:numId w:val="6"/>
        </w:numPr>
        <w:spacing w:after="80" w:line="240" w:lineRule="auto"/>
        <w:ind w:left="426"/>
      </w:pPr>
      <w:r>
        <w:t>The animal and human diagnostics sectors are different. Applying human health diagnostics rules to the animal diagnostics sector, is not always appropriate.</w:t>
      </w:r>
    </w:p>
    <w:p w14:paraId="3083ACF0" w14:textId="5AC9182C" w:rsidR="00B161B1" w:rsidRDefault="00B161B1" w:rsidP="00B161B1">
      <w:pPr>
        <w:pStyle w:val="ListParagraph"/>
        <w:numPr>
          <w:ilvl w:val="1"/>
          <w:numId w:val="6"/>
        </w:numPr>
        <w:spacing w:after="80" w:line="240" w:lineRule="auto"/>
        <w:ind w:left="993"/>
      </w:pPr>
      <w:r>
        <w:t>This distinction is important</w:t>
      </w:r>
      <w:r w:rsidRPr="00B161B1">
        <w:t xml:space="preserve"> </w:t>
      </w:r>
      <w:r>
        <w:t>for business and scientific reasons, and the argumentation needs to be expanded. For example:</w:t>
      </w:r>
    </w:p>
    <w:p w14:paraId="468E447C" w14:textId="70C483B6" w:rsidR="00B161B1" w:rsidRDefault="00B161B1" w:rsidP="00B161B1">
      <w:pPr>
        <w:pStyle w:val="ListParagraph"/>
        <w:numPr>
          <w:ilvl w:val="2"/>
          <w:numId w:val="6"/>
        </w:numPr>
        <w:spacing w:after="80" w:line="240" w:lineRule="auto"/>
        <w:ind w:left="1560"/>
      </w:pPr>
      <w:r>
        <w:t>Validation occurs in animal species itself reducing the need for redundant type testing/regulation</w:t>
      </w:r>
    </w:p>
    <w:p w14:paraId="5AE625F5" w14:textId="4B0A139C" w:rsidR="00B161B1" w:rsidRDefault="00B161B1" w:rsidP="00B161B1">
      <w:pPr>
        <w:pStyle w:val="ListParagraph"/>
        <w:numPr>
          <w:ilvl w:val="2"/>
          <w:numId w:val="6"/>
        </w:numPr>
        <w:spacing w:after="80" w:line="240" w:lineRule="auto"/>
        <w:ind w:left="1560"/>
      </w:pPr>
      <w:r>
        <w:t>Stricter regulations increase burden/costs creating barriers to entry</w:t>
      </w:r>
    </w:p>
    <w:p w14:paraId="189243D1" w14:textId="34FD4365" w:rsidR="00742BB5" w:rsidRDefault="00742BB5" w:rsidP="00D5513B">
      <w:pPr>
        <w:spacing w:after="80" w:line="240" w:lineRule="auto"/>
        <w:ind w:left="360"/>
      </w:pPr>
    </w:p>
    <w:p w14:paraId="730F3748" w14:textId="61548559" w:rsidR="00AE4261" w:rsidRDefault="00AE4261" w:rsidP="00AE4261">
      <w:pPr>
        <w:pStyle w:val="Heading2"/>
      </w:pPr>
      <w:r>
        <w:t>I</w:t>
      </w:r>
      <w:r w:rsidRPr="00AE4261">
        <w:t>nstrument</w:t>
      </w:r>
      <w:r>
        <w:t xml:space="preserve">s and </w:t>
      </w:r>
      <w:bookmarkStart w:id="4" w:name="_Hlk71047616"/>
      <w:r>
        <w:t xml:space="preserve">electrical equipment </w:t>
      </w:r>
      <w:bookmarkEnd w:id="4"/>
      <w:r>
        <w:t>safety compliance</w:t>
      </w:r>
    </w:p>
    <w:p w14:paraId="634B7E37" w14:textId="77777777" w:rsidR="00975890" w:rsidRDefault="00B264AC" w:rsidP="00D5513B">
      <w:r>
        <w:t xml:space="preserve">Currently the scope of this discussion paper has been limited to </w:t>
      </w:r>
      <w:r w:rsidRPr="00B264AC">
        <w:t>veterinary IVDs</w:t>
      </w:r>
      <w:r>
        <w:t xml:space="preserve">.  </w:t>
      </w:r>
      <w:r w:rsidR="00D5513B">
        <w:t xml:space="preserve">While “tests” in general may not require marketing authorizations, </w:t>
      </w:r>
      <w:r w:rsidR="00D5513B" w:rsidRPr="00D5513B">
        <w:t xml:space="preserve">electrical equipment </w:t>
      </w:r>
      <w:r w:rsidR="00D5513B">
        <w:t>is currently covered under the EU legislation (see list). Currently, these instrument compliance regulations do not distinguish between animal health or human health</w:t>
      </w:r>
      <w:r w:rsidR="00975890">
        <w:t xml:space="preserve">, and we are not aware of any reason why they should do.  Human operator safety applies equally for both sectors. </w:t>
      </w:r>
      <w:r w:rsidR="00D5513B">
        <w:t xml:space="preserve"> </w:t>
      </w:r>
    </w:p>
    <w:p w14:paraId="6673280C" w14:textId="33EE980A" w:rsidR="00D5513B" w:rsidRDefault="00975890" w:rsidP="00D5513B">
      <w:r>
        <w:lastRenderedPageBreak/>
        <w:t>However, f</w:t>
      </w:r>
      <w:r w:rsidR="00B264AC">
        <w:t xml:space="preserve">urther reflection </w:t>
      </w:r>
      <w:r>
        <w:t>might</w:t>
      </w:r>
      <w:r w:rsidR="00B264AC">
        <w:t xml:space="preserve"> be needed on whether to include </w:t>
      </w:r>
      <w:r w:rsidR="00AE4261">
        <w:t>the aspect of instrument certifications</w:t>
      </w:r>
      <w:r>
        <w:t xml:space="preserve"> within AnimalhealthEurope reflections and whether there is a need, on some particular points, </w:t>
      </w:r>
      <w:r w:rsidR="00D5513B">
        <w:t xml:space="preserve">to have more specific veterinary sector legislation on electrical instrument compliance, to ensure the requirements are not overly burdensome? </w:t>
      </w:r>
    </w:p>
    <w:p w14:paraId="36CA1E2D" w14:textId="4F05BAF0" w:rsidR="00B264AC" w:rsidRDefault="00B264AC" w:rsidP="00B264AC">
      <w:pPr>
        <w:pStyle w:val="ListParagraph"/>
        <w:numPr>
          <w:ilvl w:val="0"/>
          <w:numId w:val="22"/>
        </w:numPr>
        <w:ind w:left="567" w:hanging="284"/>
      </w:pPr>
      <w:r>
        <w:t>Directive 2006/95/EC on electrical equipment designed for use within certain voltage limits</w:t>
      </w:r>
    </w:p>
    <w:p w14:paraId="02F47BD9" w14:textId="6257C53C" w:rsidR="00B264AC" w:rsidRDefault="00B264AC" w:rsidP="00B264AC">
      <w:pPr>
        <w:pStyle w:val="ListParagraph"/>
        <w:numPr>
          <w:ilvl w:val="0"/>
          <w:numId w:val="22"/>
        </w:numPr>
        <w:ind w:left="567" w:hanging="284"/>
      </w:pPr>
      <w:r>
        <w:t>Directive 2011/65/EU on RoHS (restriction of hazardous substances in electrical equipment)</w:t>
      </w:r>
    </w:p>
    <w:p w14:paraId="783FF52B" w14:textId="2033A14F" w:rsidR="00B264AC" w:rsidRDefault="00B264AC" w:rsidP="00B264AC">
      <w:pPr>
        <w:pStyle w:val="ListParagraph"/>
        <w:numPr>
          <w:ilvl w:val="0"/>
          <w:numId w:val="22"/>
        </w:numPr>
        <w:ind w:left="567" w:hanging="284"/>
      </w:pPr>
      <w:r>
        <w:t>Directive 2012/19/EU on WEEE (waste electrical and electronic equipment)</w:t>
      </w:r>
    </w:p>
    <w:p w14:paraId="48AD5B73" w14:textId="3086A0B5" w:rsidR="00B264AC" w:rsidRDefault="00B264AC" w:rsidP="00B264AC">
      <w:pPr>
        <w:pStyle w:val="ListParagraph"/>
        <w:numPr>
          <w:ilvl w:val="0"/>
          <w:numId w:val="22"/>
        </w:numPr>
        <w:ind w:left="567" w:hanging="284"/>
      </w:pPr>
      <w:r>
        <w:t xml:space="preserve">Directive 2014/30/EU on electromagnetic compatibility products use electrical energy </w:t>
      </w:r>
    </w:p>
    <w:p w14:paraId="028C9DDF" w14:textId="0D33A1BF" w:rsidR="00AE4261" w:rsidRDefault="00B264AC" w:rsidP="00AE4261">
      <w:pPr>
        <w:pStyle w:val="ListParagraph"/>
        <w:numPr>
          <w:ilvl w:val="0"/>
          <w:numId w:val="22"/>
        </w:numPr>
        <w:ind w:left="567" w:hanging="284"/>
      </w:pPr>
      <w:r>
        <w:t>Directive 2014/53/EU on making available on the market of radio equipment</w:t>
      </w:r>
    </w:p>
    <w:p w14:paraId="3B33F71A" w14:textId="77777777" w:rsidR="00DC6ADD" w:rsidRDefault="00DC6ADD" w:rsidP="00D5513B">
      <w:pPr>
        <w:spacing w:after="80" w:line="240" w:lineRule="auto"/>
        <w:ind w:left="68"/>
      </w:pPr>
    </w:p>
    <w:p w14:paraId="759B4B74" w14:textId="656E695E" w:rsidR="0016713B" w:rsidRDefault="0016713B" w:rsidP="00137D74">
      <w:pPr>
        <w:pStyle w:val="ListParagraph"/>
        <w:numPr>
          <w:ilvl w:val="0"/>
          <w:numId w:val="6"/>
        </w:numPr>
        <w:spacing w:after="0" w:line="240" w:lineRule="auto"/>
      </w:pPr>
      <w:r>
        <w:br w:type="page"/>
      </w:r>
    </w:p>
    <w:p w14:paraId="6850320F" w14:textId="3EA9789F" w:rsidR="0016713B" w:rsidRPr="009F4210" w:rsidRDefault="0016713B" w:rsidP="0016713B">
      <w:pPr>
        <w:pStyle w:val="Heading1"/>
        <w:rPr>
          <w:b/>
          <w:bCs/>
        </w:rPr>
      </w:pPr>
      <w:bookmarkStart w:id="5" w:name="_Annex_1:_CNA"/>
      <w:bookmarkStart w:id="6" w:name="Annex1"/>
      <w:bookmarkEnd w:id="5"/>
      <w:r w:rsidRPr="009F4210">
        <w:rPr>
          <w:b/>
          <w:bCs/>
        </w:rPr>
        <w:lastRenderedPageBreak/>
        <w:t>Annex 1</w:t>
      </w:r>
      <w:bookmarkEnd w:id="6"/>
      <w:r w:rsidRPr="009F4210">
        <w:rPr>
          <w:b/>
          <w:bCs/>
        </w:rPr>
        <w:t>: CNA SURVEY: Mapping national approaches to the regulation of veterinary medical devices and in-vitro diagnostics</w:t>
      </w:r>
    </w:p>
    <w:p w14:paraId="06854C59" w14:textId="06954EAA" w:rsidR="0016713B" w:rsidRPr="0016713B" w:rsidRDefault="0016713B" w:rsidP="0016713B">
      <w:r>
        <w:t>[</w:t>
      </w:r>
      <w:hyperlink w:anchor="_Current_activities_and" w:history="1">
        <w:r w:rsidRPr="0016713B">
          <w:rPr>
            <w:rStyle w:val="Hyperlink"/>
          </w:rPr>
          <w:t>back</w:t>
        </w:r>
      </w:hyperlink>
      <w:r>
        <w:t>]</w:t>
      </w:r>
    </w:p>
    <w:p w14:paraId="095DB5E7" w14:textId="77777777" w:rsidR="0016713B" w:rsidRPr="009F4210" w:rsidRDefault="0016713B" w:rsidP="0074162D">
      <w:pPr>
        <w:pStyle w:val="Heading2"/>
      </w:pPr>
      <w:bookmarkStart w:id="7" w:name="_Hlk68867332"/>
      <w:r w:rsidRPr="009F4210">
        <w:t>Summary of results</w:t>
      </w:r>
    </w:p>
    <w:p w14:paraId="6B180E0C" w14:textId="77777777" w:rsidR="0016713B" w:rsidRDefault="0016713B" w:rsidP="0016713B">
      <w:r>
        <w:t>N= 10 (Nordics counted as 1) - 10 replies, representing 14 MSs (Nordics = 4 MSs)</w:t>
      </w:r>
    </w:p>
    <w:tbl>
      <w:tblPr>
        <w:tblStyle w:val="TableGrid"/>
        <w:tblW w:w="0" w:type="auto"/>
        <w:tblInd w:w="-147" w:type="dxa"/>
        <w:tblLook w:val="04A0" w:firstRow="1" w:lastRow="0" w:firstColumn="1" w:lastColumn="0" w:noHBand="0" w:noVBand="1"/>
      </w:tblPr>
      <w:tblGrid>
        <w:gridCol w:w="4962"/>
        <w:gridCol w:w="4201"/>
      </w:tblGrid>
      <w:tr w:rsidR="0016713B" w14:paraId="35112AC1" w14:textId="77777777" w:rsidTr="0016713B">
        <w:tc>
          <w:tcPr>
            <w:tcW w:w="4962" w:type="dxa"/>
            <w:tcBorders>
              <w:top w:val="single" w:sz="4" w:space="0" w:color="auto"/>
              <w:left w:val="single" w:sz="4" w:space="0" w:color="auto"/>
              <w:bottom w:val="single" w:sz="4" w:space="0" w:color="auto"/>
              <w:right w:val="single" w:sz="4" w:space="0" w:color="auto"/>
            </w:tcBorders>
            <w:hideMark/>
          </w:tcPr>
          <w:p w14:paraId="14DFC5DE" w14:textId="77777777" w:rsidR="0016713B" w:rsidRDefault="0016713B" w:rsidP="0016713B">
            <w:pPr>
              <w:pStyle w:val="ListParagraph"/>
              <w:numPr>
                <w:ilvl w:val="0"/>
                <w:numId w:val="7"/>
              </w:numPr>
              <w:spacing w:after="0" w:line="240" w:lineRule="auto"/>
            </w:pPr>
            <w:r>
              <w:t xml:space="preserve">Does your </w:t>
            </w:r>
            <w:r>
              <w:rPr>
                <w:b/>
                <w:bCs/>
              </w:rPr>
              <w:t>association</w:t>
            </w:r>
            <w:r>
              <w:t xml:space="preserve"> </w:t>
            </w:r>
            <w:r>
              <w:rPr>
                <w:b/>
                <w:bCs/>
              </w:rPr>
              <w:t>scope</w:t>
            </w:r>
            <w:r>
              <w:t xml:space="preserve"> include medical devices and in-vitro diagnostics within its activities? </w:t>
            </w:r>
          </w:p>
          <w:p w14:paraId="67B69184" w14:textId="77777777" w:rsidR="0016713B" w:rsidRDefault="0016713B">
            <w:pPr>
              <w:spacing w:after="0" w:line="240" w:lineRule="auto"/>
            </w:pPr>
            <w:r>
              <w:rPr>
                <w:color w:val="00B050"/>
              </w:rPr>
              <w:t>YES = Germany</w:t>
            </w:r>
            <w:r>
              <w:rPr>
                <w:color w:val="00B050"/>
              </w:rPr>
              <w:tab/>
              <w:t>France</w:t>
            </w:r>
            <w:r>
              <w:rPr>
                <w:color w:val="00B050"/>
              </w:rPr>
              <w:tab/>
              <w:t>Poland</w:t>
            </w:r>
            <w:r>
              <w:rPr>
                <w:color w:val="00B050"/>
              </w:rPr>
              <w:tab/>
              <w:t>Spain</w:t>
            </w:r>
            <w:r>
              <w:rPr>
                <w:color w:val="00B050"/>
              </w:rPr>
              <w:tab/>
              <w:t>Italy</w:t>
            </w:r>
          </w:p>
        </w:tc>
        <w:tc>
          <w:tcPr>
            <w:tcW w:w="4201" w:type="dxa"/>
            <w:tcBorders>
              <w:top w:val="single" w:sz="4" w:space="0" w:color="auto"/>
              <w:left w:val="single" w:sz="4" w:space="0" w:color="auto"/>
              <w:bottom w:val="single" w:sz="4" w:space="0" w:color="auto"/>
              <w:right w:val="single" w:sz="4" w:space="0" w:color="auto"/>
            </w:tcBorders>
            <w:hideMark/>
          </w:tcPr>
          <w:p w14:paraId="61F953D0" w14:textId="3D74F1B3" w:rsidR="0016713B" w:rsidRDefault="0016713B">
            <w:pPr>
              <w:spacing w:after="0" w:line="240" w:lineRule="auto"/>
            </w:pPr>
            <w:r>
              <w:rPr>
                <w:noProof/>
              </w:rPr>
              <w:drawing>
                <wp:inline distT="0" distB="0" distL="0" distR="0" wp14:anchorId="5305337D" wp14:editId="6805B170">
                  <wp:extent cx="2409825" cy="742950"/>
                  <wp:effectExtent l="0" t="0" r="9525" b="0"/>
                  <wp:docPr id="1" name="Chart 1">
                    <a:extLst xmlns:a="http://schemas.openxmlformats.org/drawingml/2006/main">
                      <a:ext uri="{FF2B5EF4-FFF2-40B4-BE49-F238E27FC236}">
                        <a16:creationId xmlns:a16="http://schemas.microsoft.com/office/drawing/2014/main" id="{301A8EBD-62A6-454D-9438-F98E2B8F20B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r>
      <w:tr w:rsidR="0016713B" w14:paraId="32C75D8B" w14:textId="77777777" w:rsidTr="0016713B">
        <w:tc>
          <w:tcPr>
            <w:tcW w:w="4962" w:type="dxa"/>
            <w:tcBorders>
              <w:top w:val="single" w:sz="4" w:space="0" w:color="auto"/>
              <w:left w:val="single" w:sz="4" w:space="0" w:color="auto"/>
              <w:bottom w:val="single" w:sz="4" w:space="0" w:color="auto"/>
              <w:right w:val="single" w:sz="4" w:space="0" w:color="auto"/>
            </w:tcBorders>
            <w:hideMark/>
          </w:tcPr>
          <w:p w14:paraId="6EA1FFEF" w14:textId="77777777" w:rsidR="0016713B" w:rsidRDefault="0016713B" w:rsidP="0016713B">
            <w:pPr>
              <w:pStyle w:val="ListParagraph"/>
              <w:numPr>
                <w:ilvl w:val="0"/>
                <w:numId w:val="7"/>
              </w:numPr>
              <w:spacing w:after="0" w:line="240" w:lineRule="auto"/>
            </w:pPr>
            <w:r>
              <w:t xml:space="preserve">Does your government apply the ‘human’ </w:t>
            </w:r>
            <w:r>
              <w:rPr>
                <w:b/>
                <w:bCs/>
              </w:rPr>
              <w:t>medical devices</w:t>
            </w:r>
            <w:r>
              <w:t xml:space="preserve"> legislation to veterinary medical devices? (Regulation (EU) 2017/745</w:t>
            </w:r>
          </w:p>
          <w:p w14:paraId="57E45B26" w14:textId="77777777" w:rsidR="0016713B" w:rsidRDefault="0016713B">
            <w:pPr>
              <w:spacing w:after="0" w:line="240" w:lineRule="auto"/>
            </w:pPr>
            <w:r>
              <w:rPr>
                <w:color w:val="00B050"/>
              </w:rPr>
              <w:t>YES = NORDICS</w:t>
            </w:r>
          </w:p>
        </w:tc>
        <w:tc>
          <w:tcPr>
            <w:tcW w:w="4201" w:type="dxa"/>
            <w:tcBorders>
              <w:top w:val="single" w:sz="4" w:space="0" w:color="auto"/>
              <w:left w:val="single" w:sz="4" w:space="0" w:color="auto"/>
              <w:bottom w:val="single" w:sz="4" w:space="0" w:color="auto"/>
              <w:right w:val="single" w:sz="4" w:space="0" w:color="auto"/>
            </w:tcBorders>
            <w:hideMark/>
          </w:tcPr>
          <w:p w14:paraId="6E89AD39" w14:textId="71D5161C" w:rsidR="0016713B" w:rsidRDefault="0016713B">
            <w:pPr>
              <w:spacing w:after="0" w:line="240" w:lineRule="auto"/>
            </w:pPr>
            <w:r>
              <w:rPr>
                <w:noProof/>
              </w:rPr>
              <w:drawing>
                <wp:inline distT="0" distB="0" distL="0" distR="0" wp14:anchorId="0995314F" wp14:editId="0B9BC4AF">
                  <wp:extent cx="2409825" cy="676275"/>
                  <wp:effectExtent l="0" t="0" r="9525" b="9525"/>
                  <wp:docPr id="2" name="Chart 2">
                    <a:extLst xmlns:a="http://schemas.openxmlformats.org/drawingml/2006/main">
                      <a:ext uri="{FF2B5EF4-FFF2-40B4-BE49-F238E27FC236}">
                        <a16:creationId xmlns:a16="http://schemas.microsoft.com/office/drawing/2014/main" id="{97AC9B2F-50E7-469A-AAC4-087EE14D28E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r>
      <w:tr w:rsidR="0016713B" w14:paraId="6B20BCF6" w14:textId="77777777" w:rsidTr="0016713B">
        <w:tc>
          <w:tcPr>
            <w:tcW w:w="4962" w:type="dxa"/>
            <w:tcBorders>
              <w:top w:val="single" w:sz="4" w:space="0" w:color="auto"/>
              <w:left w:val="single" w:sz="4" w:space="0" w:color="auto"/>
              <w:bottom w:val="single" w:sz="4" w:space="0" w:color="auto"/>
              <w:right w:val="single" w:sz="4" w:space="0" w:color="auto"/>
            </w:tcBorders>
            <w:hideMark/>
          </w:tcPr>
          <w:p w14:paraId="255C5E76" w14:textId="77777777" w:rsidR="0016713B" w:rsidRDefault="0016713B" w:rsidP="0016713B">
            <w:pPr>
              <w:pStyle w:val="ListParagraph"/>
              <w:numPr>
                <w:ilvl w:val="0"/>
                <w:numId w:val="7"/>
              </w:numPr>
              <w:spacing w:after="0" w:line="240" w:lineRule="auto"/>
            </w:pPr>
            <w:r>
              <w:t xml:space="preserve">Does your government apply the ‘human’ </w:t>
            </w:r>
            <w:r>
              <w:rPr>
                <w:b/>
                <w:bCs/>
              </w:rPr>
              <w:t>in vitro diagnostic</w:t>
            </w:r>
            <w:r>
              <w:t xml:space="preserve"> medical devices legislation to veterinary in vitro diagnostics (IVDs)? (Regulation (EU) 2017/746) </w:t>
            </w:r>
          </w:p>
          <w:p w14:paraId="63A09AD9" w14:textId="77777777" w:rsidR="0016713B" w:rsidRDefault="0016713B">
            <w:pPr>
              <w:spacing w:after="0" w:line="240" w:lineRule="auto"/>
            </w:pPr>
            <w:r>
              <w:rPr>
                <w:color w:val="00B050"/>
              </w:rPr>
              <w:t>YES = NORDICS</w:t>
            </w:r>
          </w:p>
        </w:tc>
        <w:tc>
          <w:tcPr>
            <w:tcW w:w="4201" w:type="dxa"/>
            <w:tcBorders>
              <w:top w:val="single" w:sz="4" w:space="0" w:color="auto"/>
              <w:left w:val="single" w:sz="4" w:space="0" w:color="auto"/>
              <w:bottom w:val="single" w:sz="4" w:space="0" w:color="auto"/>
              <w:right w:val="single" w:sz="4" w:space="0" w:color="auto"/>
            </w:tcBorders>
            <w:vAlign w:val="center"/>
            <w:hideMark/>
          </w:tcPr>
          <w:p w14:paraId="236169B3" w14:textId="0986C0BB" w:rsidR="0016713B" w:rsidRDefault="0016713B">
            <w:pPr>
              <w:spacing w:after="0" w:line="240" w:lineRule="auto"/>
            </w:pPr>
            <w:r>
              <w:rPr>
                <w:noProof/>
              </w:rPr>
              <w:drawing>
                <wp:inline distT="0" distB="0" distL="0" distR="0" wp14:anchorId="3B915095" wp14:editId="55FDED55">
                  <wp:extent cx="2409825" cy="714375"/>
                  <wp:effectExtent l="0" t="0" r="9525" b="9525"/>
                  <wp:docPr id="3" name="Chart 3">
                    <a:extLst xmlns:a="http://schemas.openxmlformats.org/drawingml/2006/main">
                      <a:ext uri="{FF2B5EF4-FFF2-40B4-BE49-F238E27FC236}">
                        <a16:creationId xmlns:a16="http://schemas.microsoft.com/office/drawing/2014/main" id="{A5857CF1-A02A-4260-A54B-11CD719CB26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r>
      <w:tr w:rsidR="0016713B" w14:paraId="7A4BA8E1" w14:textId="77777777" w:rsidTr="0016713B">
        <w:tc>
          <w:tcPr>
            <w:tcW w:w="4962" w:type="dxa"/>
            <w:tcBorders>
              <w:top w:val="single" w:sz="4" w:space="0" w:color="auto"/>
              <w:left w:val="single" w:sz="4" w:space="0" w:color="auto"/>
              <w:bottom w:val="single" w:sz="4" w:space="0" w:color="auto"/>
              <w:right w:val="single" w:sz="4" w:space="0" w:color="auto"/>
            </w:tcBorders>
            <w:hideMark/>
          </w:tcPr>
          <w:p w14:paraId="61FE0767" w14:textId="77777777" w:rsidR="0016713B" w:rsidRDefault="0016713B" w:rsidP="0016713B">
            <w:pPr>
              <w:pStyle w:val="ListParagraph"/>
              <w:numPr>
                <w:ilvl w:val="0"/>
                <w:numId w:val="7"/>
              </w:numPr>
              <w:spacing w:after="0" w:line="240" w:lineRule="auto"/>
            </w:pPr>
            <w:r>
              <w:t xml:space="preserve">Is there </w:t>
            </w:r>
            <w:r>
              <w:rPr>
                <w:b/>
                <w:bCs/>
              </w:rPr>
              <w:t>other national legislation</w:t>
            </w:r>
            <w:r>
              <w:t xml:space="preserve"> covering veterinary medical devices and in-vitro diagnostics. </w:t>
            </w:r>
          </w:p>
          <w:p w14:paraId="696ED2C2" w14:textId="77777777" w:rsidR="0016713B" w:rsidRDefault="0016713B">
            <w:pPr>
              <w:spacing w:after="0" w:line="240" w:lineRule="auto"/>
            </w:pPr>
            <w:r>
              <w:rPr>
                <w:color w:val="00B050"/>
              </w:rPr>
              <w:t>YES = Germany</w:t>
            </w:r>
            <w:r>
              <w:rPr>
                <w:color w:val="00B050"/>
              </w:rPr>
              <w:tab/>
              <w:t>France</w:t>
            </w:r>
            <w:r>
              <w:rPr>
                <w:color w:val="00B050"/>
              </w:rPr>
              <w:tab/>
              <w:t>Poland</w:t>
            </w:r>
            <w:r>
              <w:rPr>
                <w:color w:val="00B050"/>
              </w:rPr>
              <w:tab/>
              <w:t>Spain</w:t>
            </w:r>
          </w:p>
        </w:tc>
        <w:tc>
          <w:tcPr>
            <w:tcW w:w="4201" w:type="dxa"/>
            <w:tcBorders>
              <w:top w:val="single" w:sz="4" w:space="0" w:color="auto"/>
              <w:left w:val="single" w:sz="4" w:space="0" w:color="auto"/>
              <w:bottom w:val="single" w:sz="4" w:space="0" w:color="auto"/>
              <w:right w:val="single" w:sz="4" w:space="0" w:color="auto"/>
            </w:tcBorders>
            <w:hideMark/>
          </w:tcPr>
          <w:p w14:paraId="5B983C3C" w14:textId="0D5F4A58" w:rsidR="0016713B" w:rsidRDefault="0016713B">
            <w:pPr>
              <w:spacing w:after="0" w:line="240" w:lineRule="auto"/>
            </w:pPr>
            <w:r>
              <w:rPr>
                <w:noProof/>
              </w:rPr>
              <w:drawing>
                <wp:inline distT="0" distB="0" distL="0" distR="0" wp14:anchorId="50CD3666" wp14:editId="2C8F37E0">
                  <wp:extent cx="2409825" cy="695325"/>
                  <wp:effectExtent l="0" t="0" r="9525" b="9525"/>
                  <wp:docPr id="5" name="Chart 5">
                    <a:extLst xmlns:a="http://schemas.openxmlformats.org/drawingml/2006/main">
                      <a:ext uri="{FF2B5EF4-FFF2-40B4-BE49-F238E27FC236}">
                        <a16:creationId xmlns:a16="http://schemas.microsoft.com/office/drawing/2014/main" id="{04B65627-8BEF-4C48-9AF6-2C49959C2F7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r>
      <w:tr w:rsidR="0016713B" w14:paraId="44C65F9A" w14:textId="77777777" w:rsidTr="0016713B">
        <w:tc>
          <w:tcPr>
            <w:tcW w:w="4962" w:type="dxa"/>
            <w:tcBorders>
              <w:top w:val="single" w:sz="4" w:space="0" w:color="auto"/>
              <w:left w:val="single" w:sz="4" w:space="0" w:color="auto"/>
              <w:bottom w:val="single" w:sz="4" w:space="0" w:color="auto"/>
              <w:right w:val="single" w:sz="4" w:space="0" w:color="auto"/>
            </w:tcBorders>
            <w:hideMark/>
          </w:tcPr>
          <w:p w14:paraId="439AACD5" w14:textId="77777777" w:rsidR="0016713B" w:rsidRDefault="0016713B" w:rsidP="0016713B">
            <w:pPr>
              <w:pStyle w:val="ListParagraph"/>
              <w:numPr>
                <w:ilvl w:val="0"/>
                <w:numId w:val="7"/>
              </w:numPr>
              <w:spacing w:after="0" w:line="240" w:lineRule="auto"/>
            </w:pPr>
            <w:r>
              <w:t xml:space="preserve">Does your </w:t>
            </w:r>
            <w:r>
              <w:rPr>
                <w:b/>
                <w:bCs/>
              </w:rPr>
              <w:t>government</w:t>
            </w:r>
            <w:r>
              <w:t xml:space="preserve"> believe there is a </w:t>
            </w:r>
            <w:r>
              <w:rPr>
                <w:b/>
                <w:bCs/>
              </w:rPr>
              <w:t>need for EU legislation</w:t>
            </w:r>
            <w:r>
              <w:t xml:space="preserve"> covering veterinary MDs and veterinary IVDs? </w:t>
            </w:r>
          </w:p>
          <w:p w14:paraId="1FE55334" w14:textId="77777777" w:rsidR="0016713B" w:rsidRDefault="0016713B">
            <w:pPr>
              <w:spacing w:after="0" w:line="240" w:lineRule="auto"/>
            </w:pPr>
            <w:r>
              <w:rPr>
                <w:color w:val="00B050"/>
              </w:rPr>
              <w:t>YES = Portugal, Italy, Belgium, Greece</w:t>
            </w:r>
          </w:p>
        </w:tc>
        <w:tc>
          <w:tcPr>
            <w:tcW w:w="4201" w:type="dxa"/>
            <w:tcBorders>
              <w:top w:val="single" w:sz="4" w:space="0" w:color="auto"/>
              <w:left w:val="single" w:sz="4" w:space="0" w:color="auto"/>
              <w:bottom w:val="single" w:sz="4" w:space="0" w:color="auto"/>
              <w:right w:val="single" w:sz="4" w:space="0" w:color="auto"/>
            </w:tcBorders>
            <w:hideMark/>
          </w:tcPr>
          <w:p w14:paraId="3BB5B3FA" w14:textId="48B52524" w:rsidR="0016713B" w:rsidRDefault="0016713B">
            <w:pPr>
              <w:spacing w:after="0" w:line="240" w:lineRule="auto"/>
            </w:pPr>
            <w:r>
              <w:rPr>
                <w:noProof/>
              </w:rPr>
              <w:drawing>
                <wp:inline distT="0" distB="0" distL="0" distR="0" wp14:anchorId="6BACD1D3" wp14:editId="79262DBA">
                  <wp:extent cx="2409825" cy="657225"/>
                  <wp:effectExtent l="0" t="0" r="9525" b="9525"/>
                  <wp:docPr id="4" name="Chart 4">
                    <a:extLst xmlns:a="http://schemas.openxmlformats.org/drawingml/2006/main">
                      <a:ext uri="{FF2B5EF4-FFF2-40B4-BE49-F238E27FC236}">
                        <a16:creationId xmlns:a16="http://schemas.microsoft.com/office/drawing/2014/main" id="{39A09D56-C85E-4448-9F9D-38973DB5A16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c>
      </w:tr>
      <w:tr w:rsidR="0016713B" w14:paraId="73C00BC8" w14:textId="77777777" w:rsidTr="0016713B">
        <w:tc>
          <w:tcPr>
            <w:tcW w:w="4962" w:type="dxa"/>
            <w:tcBorders>
              <w:top w:val="single" w:sz="4" w:space="0" w:color="auto"/>
              <w:left w:val="single" w:sz="4" w:space="0" w:color="auto"/>
              <w:bottom w:val="single" w:sz="4" w:space="0" w:color="auto"/>
              <w:right w:val="single" w:sz="4" w:space="0" w:color="auto"/>
            </w:tcBorders>
            <w:hideMark/>
          </w:tcPr>
          <w:p w14:paraId="094E725D" w14:textId="77777777" w:rsidR="0016713B" w:rsidRDefault="0016713B" w:rsidP="0016713B">
            <w:pPr>
              <w:pStyle w:val="ListParagraph"/>
              <w:numPr>
                <w:ilvl w:val="0"/>
                <w:numId w:val="7"/>
              </w:numPr>
              <w:spacing w:after="0" w:line="240" w:lineRule="auto"/>
            </w:pPr>
            <w:r>
              <w:t xml:space="preserve">Does your </w:t>
            </w:r>
            <w:r>
              <w:rPr>
                <w:b/>
                <w:bCs/>
              </w:rPr>
              <w:t>membership</w:t>
            </w:r>
            <w:r>
              <w:t xml:space="preserve"> believe there is a </w:t>
            </w:r>
            <w:r>
              <w:rPr>
                <w:b/>
                <w:bCs/>
              </w:rPr>
              <w:t>need for EU legislation</w:t>
            </w:r>
            <w:r>
              <w:t xml:space="preserve"> covering veterinary MDs and veterinary IVDs? </w:t>
            </w:r>
          </w:p>
          <w:p w14:paraId="2185FDFA" w14:textId="77777777" w:rsidR="0016713B" w:rsidRDefault="0016713B">
            <w:pPr>
              <w:spacing w:after="0" w:line="240" w:lineRule="auto"/>
            </w:pPr>
            <w:r>
              <w:rPr>
                <w:color w:val="00B050"/>
              </w:rPr>
              <w:t xml:space="preserve">YES = Portugal, </w:t>
            </w:r>
            <w:r>
              <w:rPr>
                <w:i/>
                <w:iCs/>
                <w:color w:val="00B050"/>
              </w:rPr>
              <w:t>Germany (partly</w:t>
            </w:r>
            <w:r>
              <w:rPr>
                <w:color w:val="00B050"/>
              </w:rPr>
              <w:t>), France, Spain, Italy</w:t>
            </w:r>
          </w:p>
        </w:tc>
        <w:tc>
          <w:tcPr>
            <w:tcW w:w="4201" w:type="dxa"/>
            <w:tcBorders>
              <w:top w:val="single" w:sz="4" w:space="0" w:color="auto"/>
              <w:left w:val="single" w:sz="4" w:space="0" w:color="auto"/>
              <w:bottom w:val="single" w:sz="4" w:space="0" w:color="auto"/>
              <w:right w:val="single" w:sz="4" w:space="0" w:color="auto"/>
            </w:tcBorders>
            <w:hideMark/>
          </w:tcPr>
          <w:p w14:paraId="2C6D2F65" w14:textId="6A2E38D1" w:rsidR="0016713B" w:rsidRDefault="0016713B">
            <w:pPr>
              <w:spacing w:after="0" w:line="240" w:lineRule="auto"/>
            </w:pPr>
            <w:r>
              <w:rPr>
                <w:noProof/>
              </w:rPr>
              <w:drawing>
                <wp:inline distT="0" distB="0" distL="0" distR="0" wp14:anchorId="5FFA85A2" wp14:editId="7659B2D3">
                  <wp:extent cx="2419350" cy="676275"/>
                  <wp:effectExtent l="0" t="0" r="0" b="9525"/>
                  <wp:docPr id="6" name="Chart 6">
                    <a:extLst xmlns:a="http://schemas.openxmlformats.org/drawingml/2006/main">
                      <a:ext uri="{FF2B5EF4-FFF2-40B4-BE49-F238E27FC236}">
                        <a16:creationId xmlns:a16="http://schemas.microsoft.com/office/drawing/2014/main" id="{F69361D9-30C8-4337-8B40-E5D73E80DF2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c>
      </w:tr>
      <w:tr w:rsidR="0016713B" w14:paraId="04092498" w14:textId="77777777" w:rsidTr="0016713B">
        <w:tc>
          <w:tcPr>
            <w:tcW w:w="4962" w:type="dxa"/>
            <w:tcBorders>
              <w:top w:val="single" w:sz="4" w:space="0" w:color="auto"/>
              <w:left w:val="single" w:sz="4" w:space="0" w:color="auto"/>
              <w:bottom w:val="single" w:sz="4" w:space="0" w:color="auto"/>
              <w:right w:val="single" w:sz="4" w:space="0" w:color="auto"/>
            </w:tcBorders>
          </w:tcPr>
          <w:p w14:paraId="2990EC8C" w14:textId="77777777" w:rsidR="0016713B" w:rsidRDefault="0016713B" w:rsidP="0016713B">
            <w:pPr>
              <w:pStyle w:val="ListParagraph"/>
              <w:numPr>
                <w:ilvl w:val="0"/>
                <w:numId w:val="7"/>
              </w:numPr>
              <w:spacing w:after="0" w:line="240" w:lineRule="auto"/>
            </w:pPr>
            <w:r>
              <w:t xml:space="preserve">Is this an </w:t>
            </w:r>
            <w:r>
              <w:rPr>
                <w:b/>
                <w:bCs/>
              </w:rPr>
              <w:t>important issue</w:t>
            </w:r>
            <w:r>
              <w:t xml:space="preserve"> for (a) your government and (b) your membership?</w:t>
            </w:r>
          </w:p>
          <w:p w14:paraId="37CF781F" w14:textId="77777777" w:rsidR="0016713B" w:rsidRDefault="0016713B">
            <w:pPr>
              <w:spacing w:after="0" w:line="240" w:lineRule="auto"/>
            </w:pPr>
          </w:p>
          <w:p w14:paraId="2D401F1F" w14:textId="77777777" w:rsidR="0016713B" w:rsidRDefault="0016713B">
            <w:pPr>
              <w:spacing w:after="0" w:line="240" w:lineRule="auto"/>
            </w:pPr>
            <w:r>
              <w:rPr>
                <w:color w:val="00B050"/>
              </w:rPr>
              <w:t>YES = Germany</w:t>
            </w:r>
            <w:r>
              <w:rPr>
                <w:color w:val="00B050"/>
              </w:rPr>
              <w:tab/>
              <w:t>France</w:t>
            </w:r>
            <w:r>
              <w:rPr>
                <w:color w:val="00B050"/>
              </w:rPr>
              <w:tab/>
              <w:t>Spain</w:t>
            </w:r>
            <w:r>
              <w:rPr>
                <w:color w:val="00B050"/>
              </w:rPr>
              <w:tab/>
              <w:t>Italy</w:t>
            </w:r>
          </w:p>
        </w:tc>
        <w:tc>
          <w:tcPr>
            <w:tcW w:w="4201" w:type="dxa"/>
            <w:tcBorders>
              <w:top w:val="single" w:sz="4" w:space="0" w:color="auto"/>
              <w:left w:val="single" w:sz="4" w:space="0" w:color="auto"/>
              <w:bottom w:val="single" w:sz="4" w:space="0" w:color="auto"/>
              <w:right w:val="single" w:sz="4" w:space="0" w:color="auto"/>
            </w:tcBorders>
            <w:hideMark/>
          </w:tcPr>
          <w:p w14:paraId="0FF6A448" w14:textId="72FD6CD2" w:rsidR="0016713B" w:rsidRDefault="0016713B">
            <w:pPr>
              <w:spacing w:after="0" w:line="240" w:lineRule="auto"/>
            </w:pPr>
            <w:r>
              <w:rPr>
                <w:noProof/>
              </w:rPr>
              <w:drawing>
                <wp:inline distT="0" distB="0" distL="0" distR="0" wp14:anchorId="28E58CF7" wp14:editId="7B291AFE">
                  <wp:extent cx="2419350" cy="676275"/>
                  <wp:effectExtent l="0" t="0" r="0" b="9525"/>
                  <wp:docPr id="7" name="Chart 7">
                    <a:extLst xmlns:a="http://schemas.openxmlformats.org/drawingml/2006/main">
                      <a:ext uri="{FF2B5EF4-FFF2-40B4-BE49-F238E27FC236}">
                        <a16:creationId xmlns:a16="http://schemas.microsoft.com/office/drawing/2014/main" id="{5D40DAA5-0D86-4566-A507-02034C0FD55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c>
        <w:bookmarkEnd w:id="7"/>
      </w:tr>
    </w:tbl>
    <w:p w14:paraId="521128CA" w14:textId="66DFCCC5" w:rsidR="0016713B" w:rsidRDefault="0016713B" w:rsidP="00955ABA">
      <w:pPr>
        <w:spacing w:after="0" w:line="240" w:lineRule="auto"/>
      </w:pPr>
    </w:p>
    <w:p w14:paraId="32BF9A34" w14:textId="7B8B814C" w:rsidR="00616854" w:rsidRDefault="00616854">
      <w:r>
        <w:br w:type="page"/>
      </w:r>
    </w:p>
    <w:p w14:paraId="5ADEDDF6" w14:textId="431038E4" w:rsidR="00616854" w:rsidRPr="009F4210" w:rsidRDefault="00616854" w:rsidP="00616854">
      <w:pPr>
        <w:pStyle w:val="Heading1"/>
        <w:rPr>
          <w:b/>
          <w:bCs/>
        </w:rPr>
      </w:pPr>
      <w:bookmarkStart w:id="8" w:name="_Annex_2:_Proposal"/>
      <w:bookmarkEnd w:id="8"/>
      <w:r w:rsidRPr="009F4210">
        <w:rPr>
          <w:b/>
          <w:bCs/>
        </w:rPr>
        <w:lastRenderedPageBreak/>
        <w:t xml:space="preserve">Annex 2: Proposal for the creation of a new CEN technical committee </w:t>
      </w:r>
      <w:r w:rsidR="00792EA1">
        <w:rPr>
          <w:b/>
          <w:bCs/>
        </w:rPr>
        <w:t xml:space="preserve">- </w:t>
      </w:r>
      <w:r w:rsidRPr="009F4210">
        <w:rPr>
          <w:b/>
          <w:bCs/>
        </w:rPr>
        <w:t>ANIMAL HEALTH</w:t>
      </w:r>
    </w:p>
    <w:p w14:paraId="7401A3A7" w14:textId="406E3C3C" w:rsidR="0074162D" w:rsidRPr="0016713B" w:rsidRDefault="0074162D" w:rsidP="0074162D">
      <w:r>
        <w:t>[</w:t>
      </w:r>
      <w:hyperlink w:anchor="_Background_to_the" w:history="1">
        <w:r w:rsidRPr="0016713B">
          <w:rPr>
            <w:rStyle w:val="Hyperlink"/>
          </w:rPr>
          <w:t>back</w:t>
        </w:r>
      </w:hyperlink>
      <w:r>
        <w:t>]</w:t>
      </w:r>
    </w:p>
    <w:p w14:paraId="18AD8493" w14:textId="77777777" w:rsidR="00616854" w:rsidRPr="00616854" w:rsidRDefault="00616854" w:rsidP="0074162D">
      <w:pPr>
        <w:pStyle w:val="Heading2"/>
      </w:pPr>
      <w:r w:rsidRPr="00616854">
        <w:t>3-1 Scope</w:t>
      </w:r>
    </w:p>
    <w:p w14:paraId="02F84579" w14:textId="77777777" w:rsidR="00616854" w:rsidRPr="00616854" w:rsidRDefault="00616854" w:rsidP="00616854">
      <w:pPr>
        <w:pStyle w:val="Heading3"/>
      </w:pPr>
      <w:r w:rsidRPr="00616854">
        <w:t>It includes:</w:t>
      </w:r>
    </w:p>
    <w:p w14:paraId="01D68AFF" w14:textId="0A12EEED" w:rsidR="00616854" w:rsidRPr="00616854" w:rsidRDefault="00616854" w:rsidP="00616854">
      <w:pPr>
        <w:spacing w:after="0" w:line="240" w:lineRule="auto"/>
      </w:pPr>
      <w:r w:rsidRPr="00616854">
        <w:rPr>
          <w:rFonts w:ascii="Segoe UI Symbol" w:hAnsi="Segoe UI Symbol" w:cs="Segoe UI Symbol"/>
        </w:rPr>
        <w:t>✓</w:t>
      </w:r>
      <w:r w:rsidRPr="00616854">
        <w:t xml:space="preserve"> </w:t>
      </w:r>
      <w:r w:rsidRPr="009F4210">
        <w:rPr>
          <w:b/>
          <w:bCs/>
        </w:rPr>
        <w:t>Guidelines</w:t>
      </w:r>
      <w:r w:rsidRPr="00616854">
        <w:t xml:space="preserve"> for implementation of</w:t>
      </w:r>
      <w:r>
        <w:t xml:space="preserve"> </w:t>
      </w:r>
      <w:r w:rsidRPr="00616854">
        <w:t>diagnostic methods and quality</w:t>
      </w:r>
      <w:r>
        <w:t xml:space="preserve"> </w:t>
      </w:r>
      <w:r w:rsidRPr="00616854">
        <w:t xml:space="preserve">control of diagnostic </w:t>
      </w:r>
      <w:proofErr w:type="gramStart"/>
      <w:r w:rsidRPr="00616854">
        <w:t>reagents;</w:t>
      </w:r>
      <w:proofErr w:type="gramEnd"/>
    </w:p>
    <w:p w14:paraId="6DA95BEC" w14:textId="6C1A8293" w:rsidR="00616854" w:rsidRPr="00616854" w:rsidRDefault="00616854" w:rsidP="00616854">
      <w:pPr>
        <w:spacing w:after="0" w:line="240" w:lineRule="auto"/>
      </w:pPr>
      <w:r w:rsidRPr="00616854">
        <w:rPr>
          <w:rFonts w:ascii="Segoe UI Symbol" w:hAnsi="Segoe UI Symbol" w:cs="Segoe UI Symbol"/>
        </w:rPr>
        <w:t>✓</w:t>
      </w:r>
      <w:r w:rsidRPr="00616854">
        <w:t xml:space="preserve"> </w:t>
      </w:r>
      <w:r w:rsidRPr="009F4210">
        <w:rPr>
          <w:b/>
          <w:bCs/>
        </w:rPr>
        <w:t>Data management</w:t>
      </w:r>
      <w:r w:rsidRPr="00616854">
        <w:t xml:space="preserve"> and analytical</w:t>
      </w:r>
      <w:r>
        <w:t xml:space="preserve"> </w:t>
      </w:r>
      <w:r w:rsidRPr="00616854">
        <w:t>technologies used for diagnostic</w:t>
      </w:r>
      <w:r>
        <w:t xml:space="preserve"> </w:t>
      </w:r>
      <w:r w:rsidRPr="00616854">
        <w:t>methods.</w:t>
      </w:r>
    </w:p>
    <w:p w14:paraId="53C3B805" w14:textId="77777777" w:rsidR="00616854" w:rsidRPr="00616854" w:rsidRDefault="00616854" w:rsidP="00616854">
      <w:pPr>
        <w:pStyle w:val="Heading3"/>
      </w:pPr>
      <w:r w:rsidRPr="00616854">
        <w:t>It excludes:</w:t>
      </w:r>
    </w:p>
    <w:p w14:paraId="1CA1B9A3" w14:textId="20923839" w:rsidR="00616854" w:rsidRPr="00616854" w:rsidRDefault="00616854" w:rsidP="00616854">
      <w:pPr>
        <w:spacing w:after="0" w:line="240" w:lineRule="auto"/>
      </w:pPr>
      <w:r w:rsidRPr="00616854">
        <w:rPr>
          <w:rFonts w:ascii="Segoe UI Symbol" w:hAnsi="Segoe UI Symbol" w:cs="Segoe UI Symbol"/>
        </w:rPr>
        <w:t>✓</w:t>
      </w:r>
      <w:r w:rsidRPr="00616854">
        <w:t xml:space="preserve"> Terminology and methods for specific</w:t>
      </w:r>
      <w:r>
        <w:t xml:space="preserve"> </w:t>
      </w:r>
      <w:r w:rsidRPr="00616854">
        <w:t>disease diagnosis already covered by</w:t>
      </w:r>
      <w:r>
        <w:t xml:space="preserve"> </w:t>
      </w:r>
      <w:r w:rsidRPr="00616854">
        <w:t xml:space="preserve">OIE and </w:t>
      </w:r>
      <w:proofErr w:type="gramStart"/>
      <w:r w:rsidRPr="00616854">
        <w:t>EURLs;</w:t>
      </w:r>
      <w:proofErr w:type="gramEnd"/>
    </w:p>
    <w:p w14:paraId="5DCB8471" w14:textId="3C815E2A" w:rsidR="00616854" w:rsidRPr="00616854" w:rsidRDefault="00616854" w:rsidP="00616854">
      <w:pPr>
        <w:spacing w:after="0" w:line="240" w:lineRule="auto"/>
      </w:pPr>
      <w:r w:rsidRPr="00616854">
        <w:rPr>
          <w:rFonts w:ascii="Segoe UI Symbol" w:hAnsi="Segoe UI Symbol" w:cs="Segoe UI Symbol"/>
        </w:rPr>
        <w:t>✓</w:t>
      </w:r>
      <w:r w:rsidRPr="00616854">
        <w:t xml:space="preserve"> Standards on primary production in</w:t>
      </w:r>
      <w:r>
        <w:t xml:space="preserve"> </w:t>
      </w:r>
      <w:r w:rsidRPr="00616854">
        <w:t xml:space="preserve">microbiology of the food chain </w:t>
      </w:r>
    </w:p>
    <w:p w14:paraId="4D0A9C3D" w14:textId="77777777" w:rsidR="00616854" w:rsidRPr="00616854" w:rsidRDefault="00616854" w:rsidP="0074162D">
      <w:pPr>
        <w:pStyle w:val="Heading2"/>
      </w:pPr>
      <w:r w:rsidRPr="00616854">
        <w:t>3-2 Work program</w:t>
      </w:r>
    </w:p>
    <w:p w14:paraId="2B18A6DB" w14:textId="7CF943D2" w:rsidR="00616854" w:rsidRPr="004F378E" w:rsidRDefault="00616854" w:rsidP="004F378E">
      <w:pPr>
        <w:pStyle w:val="ListParagraph"/>
        <w:numPr>
          <w:ilvl w:val="0"/>
          <w:numId w:val="2"/>
        </w:numPr>
        <w:spacing w:after="0" w:line="240" w:lineRule="auto"/>
        <w:rPr>
          <w:b/>
          <w:bCs/>
        </w:rPr>
      </w:pPr>
      <w:r w:rsidRPr="004F378E">
        <w:rPr>
          <w:b/>
          <w:bCs/>
        </w:rPr>
        <w:t>Biological reagents performance control</w:t>
      </w:r>
    </w:p>
    <w:p w14:paraId="05F3652A" w14:textId="4847CE92" w:rsidR="00616854" w:rsidRDefault="00616854" w:rsidP="009F4210">
      <w:pPr>
        <w:spacing w:after="0" w:line="240" w:lineRule="auto"/>
        <w:ind w:left="720"/>
      </w:pPr>
      <w:r w:rsidRPr="00616854">
        <w:rPr>
          <w:rFonts w:ascii="Segoe UI Symbol" w:hAnsi="Segoe UI Symbol" w:cs="Segoe UI Symbol"/>
        </w:rPr>
        <w:t>➔</w:t>
      </w:r>
      <w:r w:rsidRPr="00616854">
        <w:t xml:space="preserve"> The objective is to propose a standardised control of diagnostic reagents</w:t>
      </w:r>
      <w:r w:rsidR="009F4210">
        <w:t xml:space="preserve"> </w:t>
      </w:r>
      <w:r w:rsidRPr="00616854">
        <w:t>(immunology and molecular biology) used in the animal health diagnostic</w:t>
      </w:r>
      <w:r w:rsidR="009F4210">
        <w:t xml:space="preserve"> </w:t>
      </w:r>
      <w:r w:rsidRPr="00616854">
        <w:t>sector.</w:t>
      </w:r>
    </w:p>
    <w:p w14:paraId="05CC8186" w14:textId="77777777" w:rsidR="009F4210" w:rsidRPr="00616854" w:rsidRDefault="009F4210" w:rsidP="004F378E">
      <w:pPr>
        <w:spacing w:after="0" w:line="240" w:lineRule="auto"/>
      </w:pPr>
    </w:p>
    <w:p w14:paraId="657CA312" w14:textId="0C59CE9F" w:rsidR="00616854" w:rsidRPr="004F378E" w:rsidRDefault="00616854" w:rsidP="004F378E">
      <w:pPr>
        <w:pStyle w:val="ListParagraph"/>
        <w:numPr>
          <w:ilvl w:val="0"/>
          <w:numId w:val="2"/>
        </w:numPr>
        <w:spacing w:after="0" w:line="240" w:lineRule="auto"/>
        <w:rPr>
          <w:b/>
          <w:bCs/>
        </w:rPr>
      </w:pPr>
      <w:r w:rsidRPr="004F378E">
        <w:rPr>
          <w:b/>
          <w:bCs/>
        </w:rPr>
        <w:t>Dematerialised data exchange system in laboratory analysis</w:t>
      </w:r>
    </w:p>
    <w:p w14:paraId="7988C6D2" w14:textId="77777777" w:rsidR="00616854" w:rsidRPr="00616854" w:rsidRDefault="00616854" w:rsidP="009F4210">
      <w:pPr>
        <w:spacing w:after="0" w:line="240" w:lineRule="auto"/>
        <w:ind w:left="720"/>
      </w:pPr>
      <w:r w:rsidRPr="00616854">
        <w:rPr>
          <w:rFonts w:ascii="Segoe UI Symbol" w:hAnsi="Segoe UI Symbol" w:cs="Segoe UI Symbol"/>
        </w:rPr>
        <w:t>➔</w:t>
      </w:r>
      <w:r w:rsidRPr="00616854">
        <w:t xml:space="preserve"> The objective is to ensure the management of information resulting from</w:t>
      </w:r>
    </w:p>
    <w:p w14:paraId="6FD1E05D" w14:textId="3F40A80C" w:rsidR="00616854" w:rsidRDefault="00616854" w:rsidP="009F4210">
      <w:pPr>
        <w:spacing w:after="0" w:line="240" w:lineRule="auto"/>
        <w:ind w:left="720"/>
      </w:pPr>
      <w:r w:rsidRPr="00616854">
        <w:t>analysis, testing and diagnosis in animal health.</w:t>
      </w:r>
    </w:p>
    <w:p w14:paraId="2E7BBAF0" w14:textId="5BBF5636" w:rsidR="004F378E" w:rsidRDefault="004F378E" w:rsidP="004F378E">
      <w:pPr>
        <w:spacing w:after="0" w:line="240" w:lineRule="auto"/>
      </w:pPr>
    </w:p>
    <w:p w14:paraId="41D4E963" w14:textId="77777777" w:rsidR="004F378E" w:rsidRPr="004F378E" w:rsidRDefault="004F378E" w:rsidP="004F378E">
      <w:pPr>
        <w:pStyle w:val="ListParagraph"/>
        <w:numPr>
          <w:ilvl w:val="0"/>
          <w:numId w:val="2"/>
        </w:numPr>
        <w:spacing w:after="0" w:line="240" w:lineRule="auto"/>
        <w:rPr>
          <w:b/>
          <w:bCs/>
        </w:rPr>
      </w:pPr>
      <w:r w:rsidRPr="004F378E">
        <w:rPr>
          <w:b/>
          <w:bCs/>
        </w:rPr>
        <w:t>Other deliverables could be developed later on, upon decision by the new TC.</w:t>
      </w:r>
    </w:p>
    <w:p w14:paraId="366322E7" w14:textId="718EFC39" w:rsidR="004F378E" w:rsidRPr="004F378E" w:rsidRDefault="004F378E" w:rsidP="004F378E">
      <w:pPr>
        <w:spacing w:after="0" w:line="240" w:lineRule="auto"/>
      </w:pPr>
      <w:r w:rsidRPr="004F378E">
        <w:t>This could include specific requirements and recommendations for</w:t>
      </w:r>
      <w:r>
        <w:t xml:space="preserve"> </w:t>
      </w:r>
      <w:r w:rsidRPr="004F378E">
        <w:t>the implementation of diagnostics based on:</w:t>
      </w:r>
    </w:p>
    <w:p w14:paraId="4832DA76" w14:textId="7073B179" w:rsidR="004F378E" w:rsidRPr="004F378E" w:rsidRDefault="004F378E" w:rsidP="004F378E">
      <w:pPr>
        <w:pStyle w:val="ListParagraph"/>
        <w:numPr>
          <w:ilvl w:val="1"/>
          <w:numId w:val="2"/>
        </w:numPr>
        <w:spacing w:after="0" w:line="240" w:lineRule="auto"/>
      </w:pPr>
      <w:r w:rsidRPr="004F378E">
        <w:t xml:space="preserve">Cell </w:t>
      </w:r>
      <w:proofErr w:type="gramStart"/>
      <w:r w:rsidRPr="004F378E">
        <w:t>cultures;</w:t>
      </w:r>
      <w:proofErr w:type="gramEnd"/>
    </w:p>
    <w:p w14:paraId="61F3B011" w14:textId="26A9916D" w:rsidR="004F378E" w:rsidRPr="004F378E" w:rsidRDefault="004F378E" w:rsidP="004F378E">
      <w:pPr>
        <w:pStyle w:val="ListParagraph"/>
        <w:numPr>
          <w:ilvl w:val="1"/>
          <w:numId w:val="2"/>
        </w:numPr>
        <w:spacing w:after="0" w:line="240" w:lineRule="auto"/>
      </w:pPr>
      <w:r w:rsidRPr="004F378E">
        <w:t xml:space="preserve">Molecular </w:t>
      </w:r>
      <w:proofErr w:type="gramStart"/>
      <w:r w:rsidRPr="004F378E">
        <w:t>methods;</w:t>
      </w:r>
      <w:proofErr w:type="gramEnd"/>
    </w:p>
    <w:p w14:paraId="5CB655CA" w14:textId="090A625F" w:rsidR="004F378E" w:rsidRPr="004F378E" w:rsidRDefault="004F378E" w:rsidP="004F378E">
      <w:pPr>
        <w:pStyle w:val="ListParagraph"/>
        <w:numPr>
          <w:ilvl w:val="1"/>
          <w:numId w:val="2"/>
        </w:numPr>
        <w:spacing w:after="0" w:line="240" w:lineRule="auto"/>
      </w:pPr>
      <w:r w:rsidRPr="004F378E">
        <w:t xml:space="preserve">Immunological </w:t>
      </w:r>
      <w:proofErr w:type="gramStart"/>
      <w:r w:rsidRPr="004F378E">
        <w:t>techniques;</w:t>
      </w:r>
      <w:proofErr w:type="gramEnd"/>
    </w:p>
    <w:p w14:paraId="5A060983" w14:textId="55578D0E" w:rsidR="004F378E" w:rsidRPr="004F378E" w:rsidRDefault="004F378E" w:rsidP="004F378E">
      <w:pPr>
        <w:pStyle w:val="ListParagraph"/>
        <w:numPr>
          <w:ilvl w:val="1"/>
          <w:numId w:val="2"/>
        </w:numPr>
        <w:spacing w:after="0" w:line="240" w:lineRule="auto"/>
      </w:pPr>
      <w:r w:rsidRPr="004F378E">
        <w:t>Mass spectrometry (MALDI-TOF</w:t>
      </w:r>
      <w:proofErr w:type="gramStart"/>
      <w:r w:rsidRPr="004F378E">
        <w:t>);</w:t>
      </w:r>
      <w:proofErr w:type="gramEnd"/>
    </w:p>
    <w:p w14:paraId="34A7CC58" w14:textId="1D775737" w:rsidR="004F378E" w:rsidRPr="004F378E" w:rsidRDefault="004F378E" w:rsidP="004F378E">
      <w:pPr>
        <w:pStyle w:val="ListParagraph"/>
        <w:numPr>
          <w:ilvl w:val="1"/>
          <w:numId w:val="2"/>
        </w:numPr>
        <w:spacing w:after="0" w:line="240" w:lineRule="auto"/>
      </w:pPr>
      <w:r w:rsidRPr="004F378E">
        <w:t>Any other relevant technologies fully in the scope of the Technical Committee.</w:t>
      </w:r>
    </w:p>
    <w:p w14:paraId="24571912" w14:textId="77777777" w:rsidR="004F378E" w:rsidRPr="004F378E" w:rsidRDefault="004F378E" w:rsidP="004F378E">
      <w:pPr>
        <w:spacing w:after="0" w:line="240" w:lineRule="auto"/>
      </w:pPr>
      <w:r w:rsidRPr="004F378E">
        <w:t>Other topics…</w:t>
      </w:r>
    </w:p>
    <w:p w14:paraId="3AD9BDFD" w14:textId="269DB0D5" w:rsidR="004F378E" w:rsidRPr="004F378E" w:rsidRDefault="004F378E" w:rsidP="004F378E">
      <w:pPr>
        <w:pStyle w:val="ListParagraph"/>
        <w:numPr>
          <w:ilvl w:val="1"/>
          <w:numId w:val="2"/>
        </w:numPr>
        <w:spacing w:after="0" w:line="240" w:lineRule="auto"/>
      </w:pPr>
      <w:r w:rsidRPr="004F378E">
        <w:t>A list of the relevant analytical methods recognised as appropriate for the</w:t>
      </w:r>
      <w:r>
        <w:t xml:space="preserve"> EU</w:t>
      </w:r>
      <w:r w:rsidRPr="004F378E">
        <w:t xml:space="preserve"> context,</w:t>
      </w:r>
    </w:p>
    <w:p w14:paraId="565B4B54" w14:textId="3D5A563F" w:rsidR="004F378E" w:rsidRDefault="004F378E" w:rsidP="004F378E">
      <w:pPr>
        <w:pStyle w:val="ListParagraph"/>
        <w:numPr>
          <w:ilvl w:val="1"/>
          <w:numId w:val="2"/>
        </w:numPr>
        <w:spacing w:after="0" w:line="240" w:lineRule="auto"/>
      </w:pPr>
      <w:r w:rsidRPr="004F378E">
        <w:t>Analytical methods for animal diseases not covered by EURLs nor OIE.</w:t>
      </w:r>
    </w:p>
    <w:p w14:paraId="5153E306" w14:textId="438795B6" w:rsidR="004F378E" w:rsidRDefault="004F378E" w:rsidP="004F378E">
      <w:pPr>
        <w:pStyle w:val="Heading2"/>
      </w:pPr>
      <w:r w:rsidRPr="004F378E">
        <w:t>3-3 Links with existing documents and standards</w:t>
      </w:r>
    </w:p>
    <w:p w14:paraId="4D4E4C3C" w14:textId="438745FA" w:rsidR="004F378E" w:rsidRDefault="004F378E" w:rsidP="004F378E">
      <w:pPr>
        <w:pStyle w:val="Heading3"/>
      </w:pPr>
      <w:r w:rsidRPr="004F378E">
        <w:t>In OIE:</w:t>
      </w:r>
    </w:p>
    <w:p w14:paraId="6CAC96BE" w14:textId="3DC659CF" w:rsidR="004F378E" w:rsidRPr="004F378E" w:rsidRDefault="004F378E" w:rsidP="004F378E">
      <w:pPr>
        <w:pStyle w:val="ListParagraph"/>
        <w:numPr>
          <w:ilvl w:val="1"/>
          <w:numId w:val="2"/>
        </w:numPr>
      </w:pPr>
      <w:r w:rsidRPr="004F378E">
        <w:t>Manual of Diagnostic Tests and Vaccines for Terrestrial Animals</w:t>
      </w:r>
      <w:r>
        <w:t xml:space="preserve"> </w:t>
      </w:r>
      <w:r w:rsidRPr="004F378E">
        <w:t>(Terrestrial Manual)</w:t>
      </w:r>
    </w:p>
    <w:p w14:paraId="37946003" w14:textId="2BFBEDB1" w:rsidR="004F378E" w:rsidRPr="004F378E" w:rsidRDefault="004F378E" w:rsidP="004F378E">
      <w:pPr>
        <w:pStyle w:val="ListParagraph"/>
        <w:numPr>
          <w:ilvl w:val="1"/>
          <w:numId w:val="2"/>
        </w:numPr>
        <w:spacing w:after="0"/>
        <w:ind w:left="1077" w:hanging="357"/>
      </w:pPr>
      <w:r w:rsidRPr="004F378E">
        <w:t>Manual of Diagnostic Tests for Aquatic Animals (Aquatic Manual)</w:t>
      </w:r>
    </w:p>
    <w:p w14:paraId="4FCF8AB7" w14:textId="77777777" w:rsidR="004F378E" w:rsidRPr="004F378E" w:rsidRDefault="004F378E" w:rsidP="004F378E">
      <w:pPr>
        <w:pStyle w:val="Heading3"/>
      </w:pPr>
      <w:r w:rsidRPr="004F378E">
        <w:t>In UN/CEFACT:</w:t>
      </w:r>
    </w:p>
    <w:p w14:paraId="68095E0D" w14:textId="42A1A8DD" w:rsidR="004F378E" w:rsidRPr="001979B9" w:rsidRDefault="004F378E" w:rsidP="001979B9">
      <w:pPr>
        <w:pStyle w:val="ListParagraph"/>
        <w:numPr>
          <w:ilvl w:val="1"/>
          <w:numId w:val="2"/>
        </w:numPr>
        <w:spacing w:after="0" w:line="240" w:lineRule="auto"/>
      </w:pPr>
      <w:r w:rsidRPr="001979B9">
        <w:t>Electronic Laboratory Observation Reporting (</w:t>
      </w:r>
      <w:proofErr w:type="spellStart"/>
      <w:r w:rsidRPr="001979B9">
        <w:t>eLabs</w:t>
      </w:r>
      <w:proofErr w:type="spellEnd"/>
      <w:r w:rsidRPr="001979B9">
        <w:t>)</w:t>
      </w:r>
    </w:p>
    <w:p w14:paraId="4A6A152E" w14:textId="77777777" w:rsidR="004F378E" w:rsidRPr="004F378E" w:rsidRDefault="004F378E" w:rsidP="004F378E">
      <w:pPr>
        <w:pStyle w:val="Heading3"/>
      </w:pPr>
      <w:r w:rsidRPr="004F378E">
        <w:t>In CEN/ISO:</w:t>
      </w:r>
    </w:p>
    <w:p w14:paraId="479B696C" w14:textId="093AE380" w:rsidR="004F378E" w:rsidRPr="001979B9" w:rsidRDefault="004F378E" w:rsidP="001979B9">
      <w:pPr>
        <w:pStyle w:val="ListParagraph"/>
        <w:numPr>
          <w:ilvl w:val="0"/>
          <w:numId w:val="2"/>
        </w:numPr>
        <w:spacing w:after="0" w:line="240" w:lineRule="auto"/>
      </w:pPr>
      <w:r w:rsidRPr="001979B9">
        <w:t>EN ISO/IEC 17025 - General requirements for the competence of testing and</w:t>
      </w:r>
      <w:r w:rsidR="001979B9">
        <w:t xml:space="preserve"> </w:t>
      </w:r>
      <w:r w:rsidRPr="001979B9">
        <w:t>calibration labs</w:t>
      </w:r>
    </w:p>
    <w:p w14:paraId="11AFF2BD" w14:textId="6CF1807A" w:rsidR="004F378E" w:rsidRPr="001979B9" w:rsidRDefault="004F378E" w:rsidP="001979B9">
      <w:pPr>
        <w:pStyle w:val="ListParagraph"/>
        <w:numPr>
          <w:ilvl w:val="0"/>
          <w:numId w:val="2"/>
        </w:numPr>
        <w:spacing w:after="0" w:line="240" w:lineRule="auto"/>
      </w:pPr>
      <w:r w:rsidRPr="001979B9">
        <w:t>EN ISO 22117 - Microbiology of food chain - Specific requirements and guidance for</w:t>
      </w:r>
      <w:r w:rsidR="001979B9">
        <w:t xml:space="preserve"> </w:t>
      </w:r>
      <w:r w:rsidRPr="001979B9">
        <w:t>proficiency testing by interlaboratory comparison</w:t>
      </w:r>
    </w:p>
    <w:p w14:paraId="69837FAA" w14:textId="31093732" w:rsidR="004F378E" w:rsidRPr="001979B9" w:rsidRDefault="004F378E" w:rsidP="001979B9">
      <w:pPr>
        <w:pStyle w:val="ListParagraph"/>
        <w:numPr>
          <w:ilvl w:val="0"/>
          <w:numId w:val="2"/>
        </w:numPr>
        <w:spacing w:after="0" w:line="240" w:lineRule="auto"/>
      </w:pPr>
      <w:r w:rsidRPr="001979B9">
        <w:t>EN ISO 19036 - Microbiology of food chain - Guidelines for the estimation of</w:t>
      </w:r>
      <w:r w:rsidR="001979B9">
        <w:t xml:space="preserve"> </w:t>
      </w:r>
      <w:r w:rsidRPr="001979B9">
        <w:t>measurement uncertainty for quantitative determinations</w:t>
      </w:r>
    </w:p>
    <w:p w14:paraId="5B0C8795" w14:textId="3453ADAF" w:rsidR="004F378E" w:rsidRPr="001979B9" w:rsidRDefault="004F378E" w:rsidP="001979B9">
      <w:pPr>
        <w:pStyle w:val="ListParagraph"/>
        <w:numPr>
          <w:ilvl w:val="0"/>
          <w:numId w:val="2"/>
        </w:numPr>
        <w:spacing w:after="0" w:line="240" w:lineRule="auto"/>
      </w:pPr>
      <w:r w:rsidRPr="001979B9">
        <w:t>EN ISO 22174 - Microbiology of food - Polymerase chain reaction (PCR) for the</w:t>
      </w:r>
      <w:r w:rsidR="001979B9">
        <w:t xml:space="preserve"> </w:t>
      </w:r>
      <w:r w:rsidRPr="001979B9">
        <w:t>detection of food-borne pathogens - General requirements and definitions</w:t>
      </w:r>
    </w:p>
    <w:p w14:paraId="0C5A2CDA" w14:textId="137A446F" w:rsidR="00064B40" w:rsidRPr="00064B40" w:rsidRDefault="004F378E" w:rsidP="000A0F8E">
      <w:pPr>
        <w:pStyle w:val="ListParagraph"/>
        <w:numPr>
          <w:ilvl w:val="0"/>
          <w:numId w:val="10"/>
        </w:numPr>
        <w:spacing w:after="0" w:line="240" w:lineRule="auto"/>
        <w:rPr>
          <w:color w:val="FF0000"/>
        </w:rPr>
      </w:pPr>
      <w:r w:rsidRPr="00064B40">
        <w:rPr>
          <w:color w:val="FF0000"/>
        </w:rPr>
        <w:t>In CEN:</w:t>
      </w:r>
      <w:r w:rsidR="001979B9" w:rsidRPr="00064B40">
        <w:rPr>
          <w:color w:val="FF0000"/>
        </w:rPr>
        <w:t xml:space="preserve"> </w:t>
      </w:r>
      <w:r w:rsidRPr="00064B40">
        <w:rPr>
          <w:color w:val="FF0000"/>
        </w:rPr>
        <w:t>No standard identified on biological reagents control and data exchange system</w:t>
      </w:r>
      <w:r w:rsidR="00064B40" w:rsidRPr="00064B40">
        <w:rPr>
          <w:color w:val="FF0000"/>
        </w:rPr>
        <w:br w:type="page"/>
      </w:r>
    </w:p>
    <w:p w14:paraId="45409E7A" w14:textId="3F40AC83" w:rsidR="004F378E" w:rsidRPr="00064B40" w:rsidRDefault="00064B40" w:rsidP="00064B40">
      <w:pPr>
        <w:pStyle w:val="Heading1"/>
        <w:rPr>
          <w:b/>
          <w:bCs/>
        </w:rPr>
      </w:pPr>
      <w:bookmarkStart w:id="9" w:name="_Annex_3:_summary"/>
      <w:bookmarkEnd w:id="9"/>
      <w:r w:rsidRPr="00064B40">
        <w:rPr>
          <w:b/>
          <w:bCs/>
        </w:rPr>
        <w:lastRenderedPageBreak/>
        <w:t xml:space="preserve">Annex 3: summary of REGULATION (EU) 2017/746 on </w:t>
      </w:r>
      <w:r>
        <w:rPr>
          <w:b/>
          <w:bCs/>
        </w:rPr>
        <w:t xml:space="preserve">human </w:t>
      </w:r>
      <w:r w:rsidR="000077B7">
        <w:rPr>
          <w:b/>
          <w:bCs/>
        </w:rPr>
        <w:t>IVDs</w:t>
      </w:r>
    </w:p>
    <w:p w14:paraId="72A671C2" w14:textId="2F26E9B8" w:rsidR="000077B7" w:rsidRDefault="00D61166" w:rsidP="000077B7">
      <w:pPr>
        <w:pStyle w:val="Heading2"/>
      </w:pPr>
      <w:r>
        <w:rPr>
          <w:b w:val="0"/>
          <w:bCs w:val="0"/>
          <w:noProof/>
        </w:rPr>
        <mc:AlternateContent>
          <mc:Choice Requires="wps">
            <w:drawing>
              <wp:anchor distT="0" distB="0" distL="114300" distR="114300" simplePos="0" relativeHeight="251659264" behindDoc="0" locked="0" layoutInCell="1" allowOverlap="1" wp14:anchorId="5210939B" wp14:editId="3B627B00">
                <wp:simplePos x="0" y="0"/>
                <wp:positionH relativeFrom="column">
                  <wp:posOffset>5314950</wp:posOffset>
                </wp:positionH>
                <wp:positionV relativeFrom="paragraph">
                  <wp:posOffset>104140</wp:posOffset>
                </wp:positionV>
                <wp:extent cx="561975" cy="295275"/>
                <wp:effectExtent l="0" t="0" r="28575" b="28575"/>
                <wp:wrapNone/>
                <wp:docPr id="8" name="Text Box 8"/>
                <wp:cNvGraphicFramePr/>
                <a:graphic xmlns:a="http://schemas.openxmlformats.org/drawingml/2006/main">
                  <a:graphicData uri="http://schemas.microsoft.com/office/word/2010/wordprocessingShape">
                    <wps:wsp>
                      <wps:cNvSpPr txBox="1"/>
                      <wps:spPr>
                        <a:xfrm>
                          <a:off x="0" y="0"/>
                          <a:ext cx="561975" cy="295275"/>
                        </a:xfrm>
                        <a:prstGeom prst="rect">
                          <a:avLst/>
                        </a:prstGeom>
                        <a:solidFill>
                          <a:schemeClr val="lt1"/>
                        </a:solidFill>
                        <a:ln w="6350">
                          <a:solidFill>
                            <a:prstClr val="black"/>
                          </a:solidFill>
                        </a:ln>
                      </wps:spPr>
                      <wps:txbx>
                        <w:txbxContent>
                          <w:p w14:paraId="10F4297E" w14:textId="77777777" w:rsidR="00D61166" w:rsidRDefault="0085751F" w:rsidP="00D61166">
                            <w:hyperlink w:anchor="_Current_activities_and" w:history="1">
                              <w:r w:rsidR="00D61166" w:rsidRPr="00D61166">
                                <w:rPr>
                                  <w:rStyle w:val="Hyperlink"/>
                                </w:rPr>
                                <w:t>Back</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210939B" id="_x0000_t202" coordsize="21600,21600" o:spt="202" path="m,l,21600r21600,l21600,xe">
                <v:stroke joinstyle="miter"/>
                <v:path gradientshapeok="t" o:connecttype="rect"/>
              </v:shapetype>
              <v:shape id="Text Box 8" o:spid="_x0000_s1026" type="#_x0000_t202" style="position:absolute;margin-left:418.5pt;margin-top:8.2pt;width:44.25pt;height:23.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" fillcolor="white [3201]" strokeweight=".5pt">
                <v:textbox>
                  <w:txbxContent>
                    <w:p w14:paraId="10F4297E" w14:textId="77777777" w:rsidR="00D61166" w:rsidRDefault="00975890" w:rsidP="00D61166">
                      <w:hyperlink w:anchor="_Current_activities_and" w:history="1">
                        <w:r w:rsidR="00D61166" w:rsidRPr="00D61166">
                          <w:rPr>
                            <w:rStyle w:val="Hyperlink"/>
                          </w:rPr>
                          <w:t>Back</w:t>
                        </w:r>
                      </w:hyperlink>
                    </w:p>
                  </w:txbxContent>
                </v:textbox>
              </v:shape>
            </w:pict>
          </mc:Fallback>
        </mc:AlternateContent>
      </w:r>
      <w:r w:rsidR="000077B7">
        <w:t>S</w:t>
      </w:r>
      <w:r w:rsidR="000077B7" w:rsidRPr="005C11A5">
        <w:t xml:space="preserve">cope: </w:t>
      </w:r>
    </w:p>
    <w:p w14:paraId="76672778" w14:textId="77777777" w:rsidR="000077B7" w:rsidRPr="005F7487" w:rsidRDefault="000077B7" w:rsidP="000077B7">
      <w:r w:rsidRPr="005C11A5">
        <w:t>in vitro diagnostic medical devices for human use and accessories for such devices</w:t>
      </w:r>
    </w:p>
    <w:p w14:paraId="6E621A81" w14:textId="77777777" w:rsidR="000077B7" w:rsidRDefault="000077B7" w:rsidP="000077B7">
      <w:pPr>
        <w:pStyle w:val="Heading2"/>
      </w:pPr>
      <w:r w:rsidRPr="006F4748">
        <w:t>Definitions</w:t>
      </w:r>
    </w:p>
    <w:p w14:paraId="449FC711" w14:textId="77777777" w:rsidR="000077B7" w:rsidRDefault="000077B7" w:rsidP="000077B7">
      <w:pPr>
        <w:spacing w:after="0"/>
      </w:pPr>
      <w:r w:rsidRPr="006F4748">
        <w:t xml:space="preserve">‘in vitro diagnostic medical device’ means any medical device which is a reagent, reagent product, calibrator, control material, kit, instrument, apparatus, piece of equipment, software or system, whether used alone or in combination, intended by the manufacturer to be used in vitro for the examination of specimens, including blood and tissue donations, derived from the human body, solely or principally for the purpose of providing information on one or more of the following: </w:t>
      </w:r>
    </w:p>
    <w:p w14:paraId="40A4A8EC" w14:textId="77777777" w:rsidR="000077B7" w:rsidRPr="007F39B0" w:rsidRDefault="000077B7" w:rsidP="000077B7">
      <w:pPr>
        <w:pStyle w:val="ListParagraph"/>
        <w:numPr>
          <w:ilvl w:val="0"/>
          <w:numId w:val="14"/>
        </w:numPr>
        <w:spacing w:after="0"/>
        <w:rPr>
          <w:sz w:val="20"/>
          <w:szCs w:val="20"/>
        </w:rPr>
      </w:pPr>
      <w:r w:rsidRPr="007F39B0">
        <w:rPr>
          <w:sz w:val="20"/>
          <w:szCs w:val="20"/>
        </w:rPr>
        <w:t xml:space="preserve">concerning a physiological or pathological process or state, or congenital physical or mental impairments, or the predisposition to a medical condition or a disease. </w:t>
      </w:r>
    </w:p>
    <w:p w14:paraId="07F14619" w14:textId="77777777" w:rsidR="000077B7" w:rsidRPr="007F39B0" w:rsidRDefault="000077B7" w:rsidP="000077B7">
      <w:pPr>
        <w:pStyle w:val="ListParagraph"/>
        <w:numPr>
          <w:ilvl w:val="0"/>
          <w:numId w:val="14"/>
        </w:numPr>
        <w:spacing w:after="0"/>
        <w:ind w:left="357" w:hanging="357"/>
        <w:rPr>
          <w:sz w:val="20"/>
          <w:szCs w:val="20"/>
        </w:rPr>
      </w:pPr>
      <w:r w:rsidRPr="007F39B0">
        <w:rPr>
          <w:sz w:val="20"/>
          <w:szCs w:val="20"/>
        </w:rPr>
        <w:t>to predict treatment response or reactions or to define or monitoring therapeutic measures</w:t>
      </w:r>
      <w:r>
        <w:rPr>
          <w:sz w:val="20"/>
          <w:szCs w:val="20"/>
        </w:rPr>
        <w:t>.</w:t>
      </w:r>
    </w:p>
    <w:p w14:paraId="4E1AD0D3" w14:textId="77777777" w:rsidR="000077B7" w:rsidRPr="007F39B0" w:rsidRDefault="000077B7" w:rsidP="000077B7">
      <w:pPr>
        <w:pStyle w:val="ListParagraph"/>
        <w:numPr>
          <w:ilvl w:val="0"/>
          <w:numId w:val="14"/>
        </w:numPr>
        <w:ind w:left="357" w:hanging="357"/>
        <w:rPr>
          <w:sz w:val="20"/>
          <w:szCs w:val="20"/>
        </w:rPr>
      </w:pPr>
      <w:r w:rsidRPr="007F39B0">
        <w:rPr>
          <w:sz w:val="20"/>
          <w:szCs w:val="20"/>
        </w:rPr>
        <w:t>Specimen receptacles shall also be deemed to be in vitro diagnostic medical devices</w:t>
      </w:r>
      <w:r>
        <w:rPr>
          <w:sz w:val="20"/>
          <w:szCs w:val="20"/>
        </w:rPr>
        <w:t>.</w:t>
      </w:r>
    </w:p>
    <w:p w14:paraId="75C9FAC7" w14:textId="77777777" w:rsidR="000077B7" w:rsidRPr="007F39B0" w:rsidRDefault="000077B7" w:rsidP="000077B7">
      <w:pPr>
        <w:rPr>
          <w:sz w:val="20"/>
          <w:szCs w:val="20"/>
        </w:rPr>
      </w:pPr>
      <w:bookmarkStart w:id="10" w:name="_Hlk68885429"/>
      <w:r w:rsidRPr="007F39B0">
        <w:rPr>
          <w:sz w:val="20"/>
          <w:szCs w:val="20"/>
        </w:rPr>
        <w:t xml:space="preserve">Other definitions cover: ‘device for self-testing’; ‘device for near-patient testing’; ‘companion diagnostic’ to a medicinal product; ‘generic device group’; ‘single-use device’; ‘kit’ </w:t>
      </w:r>
      <w:r>
        <w:rPr>
          <w:sz w:val="20"/>
          <w:szCs w:val="20"/>
        </w:rPr>
        <w:t>-</w:t>
      </w:r>
      <w:r w:rsidRPr="007F39B0">
        <w:rPr>
          <w:sz w:val="20"/>
          <w:szCs w:val="20"/>
        </w:rPr>
        <w:t xml:space="preserve"> a set of components packaged together.</w:t>
      </w:r>
    </w:p>
    <w:bookmarkEnd w:id="10"/>
    <w:p w14:paraId="60A6931C" w14:textId="77777777" w:rsidR="000077B7" w:rsidRDefault="000077B7" w:rsidP="000077B7">
      <w:pPr>
        <w:pStyle w:val="Heading2"/>
      </w:pPr>
      <w:r w:rsidRPr="00D4018A">
        <w:t>General obligations of manufacturers</w:t>
      </w:r>
      <w:r>
        <w:t xml:space="preserve">: </w:t>
      </w:r>
    </w:p>
    <w:p w14:paraId="71668BE2" w14:textId="77777777" w:rsidR="000077B7" w:rsidRDefault="000077B7" w:rsidP="000077B7">
      <w:pPr>
        <w:pStyle w:val="ListParagraph"/>
        <w:numPr>
          <w:ilvl w:val="0"/>
          <w:numId w:val="11"/>
        </w:numPr>
      </w:pPr>
      <w:r>
        <w:t xml:space="preserve">IVDs must be </w:t>
      </w:r>
      <w:r w:rsidRPr="001A6C9B">
        <w:t xml:space="preserve">designed and manufactured in accordance with this </w:t>
      </w:r>
      <w:proofErr w:type="gramStart"/>
      <w:r w:rsidRPr="001A6C9B">
        <w:t>Regulation</w:t>
      </w:r>
      <w:r>
        <w:t>;</w:t>
      </w:r>
      <w:proofErr w:type="gramEnd"/>
      <w:r>
        <w:t xml:space="preserve"> </w:t>
      </w:r>
    </w:p>
    <w:p w14:paraId="061160D4" w14:textId="77777777" w:rsidR="000077B7" w:rsidRDefault="000077B7" w:rsidP="000077B7">
      <w:pPr>
        <w:pStyle w:val="ListParagraph"/>
        <w:numPr>
          <w:ilvl w:val="0"/>
          <w:numId w:val="11"/>
        </w:numPr>
      </w:pPr>
      <w:r w:rsidRPr="001A6C9B">
        <w:t xml:space="preserve">implement and maintain a system for risk </w:t>
      </w:r>
      <w:proofErr w:type="gramStart"/>
      <w:r w:rsidRPr="001A6C9B">
        <w:t>management</w:t>
      </w:r>
      <w:r>
        <w:t>;</w:t>
      </w:r>
      <w:proofErr w:type="gramEnd"/>
      <w:r>
        <w:t xml:space="preserve"> </w:t>
      </w:r>
    </w:p>
    <w:p w14:paraId="63BC6514" w14:textId="77777777" w:rsidR="000077B7" w:rsidRDefault="000077B7" w:rsidP="000077B7">
      <w:pPr>
        <w:pStyle w:val="ListParagraph"/>
        <w:numPr>
          <w:ilvl w:val="0"/>
          <w:numId w:val="11"/>
        </w:numPr>
      </w:pPr>
      <w:r w:rsidRPr="001A6C9B">
        <w:t xml:space="preserve">conduct a </w:t>
      </w:r>
      <w:r w:rsidRPr="00C926D4">
        <w:rPr>
          <w:b/>
          <w:bCs/>
        </w:rPr>
        <w:t>performance evaluation</w:t>
      </w:r>
      <w:r>
        <w:rPr>
          <w:b/>
          <w:bCs/>
        </w:rPr>
        <w:t xml:space="preserve"> and</w:t>
      </w:r>
      <w:r>
        <w:t xml:space="preserve"> </w:t>
      </w:r>
      <w:r w:rsidRPr="001A6C9B">
        <w:t xml:space="preserve">draw up an </w:t>
      </w:r>
      <w:r w:rsidRPr="00381E39">
        <w:rPr>
          <w:b/>
          <w:bCs/>
        </w:rPr>
        <w:t>EU declaration of conformity</w:t>
      </w:r>
      <w:r>
        <w:rPr>
          <w:b/>
          <w:bCs/>
        </w:rPr>
        <w:t xml:space="preserve"> </w:t>
      </w:r>
      <w:r w:rsidRPr="00381E39">
        <w:t>(see below</w:t>
      </w:r>
      <w:proofErr w:type="gramStart"/>
      <w:r w:rsidRPr="00381E39">
        <w:t>);</w:t>
      </w:r>
      <w:proofErr w:type="gramEnd"/>
    </w:p>
    <w:p w14:paraId="4D7E95B8" w14:textId="77777777" w:rsidR="000077B7" w:rsidRDefault="000077B7" w:rsidP="000077B7">
      <w:pPr>
        <w:pStyle w:val="ListParagraph"/>
        <w:numPr>
          <w:ilvl w:val="0"/>
          <w:numId w:val="11"/>
        </w:numPr>
      </w:pPr>
      <w:r>
        <w:t>d</w:t>
      </w:r>
      <w:r w:rsidRPr="001A6C9B">
        <w:t xml:space="preserve">raw up and keep up to date the technical documentation for those </w:t>
      </w:r>
      <w:r>
        <w:t>IVDs;</w:t>
      </w:r>
      <w:r w:rsidRPr="00C926D4">
        <w:t xml:space="preserve"> </w:t>
      </w:r>
      <w:r w:rsidRPr="001A6C9B">
        <w:t>keep the technical documentation</w:t>
      </w:r>
      <w:r>
        <w:t xml:space="preserve"> </w:t>
      </w:r>
      <w:r w:rsidRPr="001A6C9B">
        <w:t>for 10 years</w:t>
      </w:r>
      <w:r>
        <w:t xml:space="preserve">; </w:t>
      </w:r>
      <w:r w:rsidRPr="001A6C9B">
        <w:t xml:space="preserve"> </w:t>
      </w:r>
      <w:r>
        <w:t xml:space="preserve">provide to </w:t>
      </w:r>
      <w:r w:rsidRPr="001A6C9B">
        <w:t>competent authority</w:t>
      </w:r>
      <w:r>
        <w:t xml:space="preserve"> </w:t>
      </w:r>
      <w:r w:rsidRPr="001A6C9B">
        <w:t xml:space="preserve">on request </w:t>
      </w:r>
    </w:p>
    <w:p w14:paraId="0C428B70" w14:textId="77777777" w:rsidR="000077B7" w:rsidRDefault="000077B7" w:rsidP="000077B7">
      <w:pPr>
        <w:pStyle w:val="ListParagraph"/>
        <w:numPr>
          <w:ilvl w:val="0"/>
          <w:numId w:val="11"/>
        </w:numPr>
      </w:pPr>
      <w:r w:rsidRPr="001A6C9B">
        <w:t xml:space="preserve">affix the </w:t>
      </w:r>
      <w:r w:rsidRPr="00381E39">
        <w:rPr>
          <w:b/>
          <w:bCs/>
        </w:rPr>
        <w:t>CE marking of conformity</w:t>
      </w:r>
      <w:r>
        <w:rPr>
          <w:b/>
          <w:bCs/>
        </w:rPr>
        <w:t xml:space="preserve"> </w:t>
      </w:r>
      <w:r w:rsidRPr="00381E39">
        <w:t>(see below</w:t>
      </w:r>
      <w:proofErr w:type="gramStart"/>
      <w:r w:rsidRPr="00381E39">
        <w:t>);</w:t>
      </w:r>
      <w:proofErr w:type="gramEnd"/>
      <w:r>
        <w:t xml:space="preserve"> </w:t>
      </w:r>
    </w:p>
    <w:p w14:paraId="6FEC0820" w14:textId="77777777" w:rsidR="000077B7" w:rsidRDefault="000077B7" w:rsidP="000077B7">
      <w:pPr>
        <w:pStyle w:val="ListParagraph"/>
        <w:numPr>
          <w:ilvl w:val="0"/>
          <w:numId w:val="11"/>
        </w:numPr>
      </w:pPr>
      <w:r w:rsidRPr="001A6C9B">
        <w:t xml:space="preserve">comply with the obligations </w:t>
      </w:r>
      <w:r>
        <w:t>of</w:t>
      </w:r>
      <w:r w:rsidRPr="001A6C9B">
        <w:t xml:space="preserve"> the </w:t>
      </w:r>
      <w:r>
        <w:t>Unique Device Identification (</w:t>
      </w:r>
      <w:r w:rsidRPr="00E03600">
        <w:rPr>
          <w:b/>
          <w:bCs/>
        </w:rPr>
        <w:t>UDI</w:t>
      </w:r>
      <w:r>
        <w:rPr>
          <w:b/>
          <w:bCs/>
        </w:rPr>
        <w:t>)</w:t>
      </w:r>
      <w:r w:rsidRPr="00E03600">
        <w:rPr>
          <w:b/>
          <w:bCs/>
        </w:rPr>
        <w:t xml:space="preserve"> system</w:t>
      </w:r>
      <w:r>
        <w:t xml:space="preserve"> </w:t>
      </w:r>
      <w:r w:rsidRPr="00381E39">
        <w:t>(see below</w:t>
      </w:r>
      <w:proofErr w:type="gramStart"/>
      <w:r w:rsidRPr="00381E39">
        <w:t>);</w:t>
      </w:r>
      <w:proofErr w:type="gramEnd"/>
      <w:r>
        <w:t xml:space="preserve">  </w:t>
      </w:r>
    </w:p>
    <w:p w14:paraId="4D00958E" w14:textId="77777777" w:rsidR="000077B7" w:rsidRDefault="000077B7" w:rsidP="000077B7">
      <w:pPr>
        <w:pStyle w:val="ListParagraph"/>
        <w:numPr>
          <w:ilvl w:val="0"/>
          <w:numId w:val="11"/>
        </w:numPr>
      </w:pPr>
      <w:r w:rsidRPr="001A6C9B">
        <w:t xml:space="preserve">ensure that procedures are in place to keep series production in conformity with this </w:t>
      </w:r>
      <w:proofErr w:type="gramStart"/>
      <w:r w:rsidRPr="001A6C9B">
        <w:t>Regulation</w:t>
      </w:r>
      <w:r>
        <w:t>;</w:t>
      </w:r>
      <w:proofErr w:type="gramEnd"/>
    </w:p>
    <w:p w14:paraId="2A765203" w14:textId="77777777" w:rsidR="000077B7" w:rsidRDefault="000077B7" w:rsidP="000077B7">
      <w:pPr>
        <w:pStyle w:val="ListParagraph"/>
        <w:numPr>
          <w:ilvl w:val="0"/>
          <w:numId w:val="11"/>
        </w:numPr>
      </w:pPr>
      <w:r w:rsidRPr="001A6C9B">
        <w:t xml:space="preserve">establish, keep up to date and continually improve a </w:t>
      </w:r>
      <w:r w:rsidRPr="00E03600">
        <w:rPr>
          <w:b/>
          <w:bCs/>
        </w:rPr>
        <w:t xml:space="preserve">quality management </w:t>
      </w:r>
      <w:proofErr w:type="gramStart"/>
      <w:r w:rsidRPr="00E03600">
        <w:rPr>
          <w:b/>
          <w:bCs/>
        </w:rPr>
        <w:t>system</w:t>
      </w:r>
      <w:r>
        <w:t>;</w:t>
      </w:r>
      <w:proofErr w:type="gramEnd"/>
      <w:r>
        <w:t xml:space="preserve"> </w:t>
      </w:r>
    </w:p>
    <w:p w14:paraId="1835065F" w14:textId="77777777" w:rsidR="000077B7" w:rsidRDefault="000077B7" w:rsidP="000077B7">
      <w:pPr>
        <w:pStyle w:val="ListParagraph"/>
        <w:numPr>
          <w:ilvl w:val="0"/>
          <w:numId w:val="11"/>
        </w:numPr>
      </w:pPr>
      <w:r w:rsidRPr="001A6C9B">
        <w:t xml:space="preserve">implement and keep up to date the </w:t>
      </w:r>
      <w:r w:rsidRPr="00C926D4">
        <w:rPr>
          <w:b/>
          <w:bCs/>
        </w:rPr>
        <w:t>post-market surveillance</w:t>
      </w:r>
      <w:r w:rsidRPr="001A6C9B">
        <w:t xml:space="preserve"> system</w:t>
      </w:r>
      <w:r>
        <w:t xml:space="preserve">; </w:t>
      </w:r>
      <w:r w:rsidRPr="001A6C9B">
        <w:t xml:space="preserve">have a system for recording and </w:t>
      </w:r>
      <w:r w:rsidRPr="00C926D4">
        <w:rPr>
          <w:b/>
          <w:bCs/>
        </w:rPr>
        <w:t>reporting of incidents</w:t>
      </w:r>
      <w:r w:rsidRPr="001A6C9B">
        <w:t xml:space="preserve"> and </w:t>
      </w:r>
      <w:r w:rsidRPr="00C926D4">
        <w:rPr>
          <w:b/>
          <w:bCs/>
        </w:rPr>
        <w:t>field safety</w:t>
      </w:r>
      <w:r w:rsidRPr="001A6C9B">
        <w:t xml:space="preserve"> corrective actions</w:t>
      </w:r>
      <w:r>
        <w:t xml:space="preserve">; if necessary, </w:t>
      </w:r>
      <w:r w:rsidRPr="001A6C9B">
        <w:t xml:space="preserve">immediately take the necessary </w:t>
      </w:r>
      <w:r w:rsidRPr="00C926D4">
        <w:rPr>
          <w:b/>
          <w:bCs/>
        </w:rPr>
        <w:t>corrective action</w:t>
      </w:r>
      <w:r>
        <w:t xml:space="preserve">; </w:t>
      </w:r>
      <w:r w:rsidRPr="001A6C9B">
        <w:t>immediately inform the competent authorities</w:t>
      </w:r>
      <w:r>
        <w:t xml:space="preserve"> of new </w:t>
      </w:r>
      <w:r w:rsidRPr="00C926D4">
        <w:rPr>
          <w:b/>
          <w:bCs/>
        </w:rPr>
        <w:t>risks</w:t>
      </w:r>
      <w:r>
        <w:t>;</w:t>
      </w:r>
      <w:r w:rsidRPr="001A6C9B">
        <w:t xml:space="preserve"> provide sufficient financial coverage in respect of </w:t>
      </w:r>
      <w:r w:rsidRPr="00C926D4">
        <w:rPr>
          <w:b/>
          <w:bCs/>
        </w:rPr>
        <w:t>liability</w:t>
      </w:r>
      <w:r>
        <w:t>.</w:t>
      </w:r>
    </w:p>
    <w:p w14:paraId="454236B7" w14:textId="77777777" w:rsidR="000077B7" w:rsidRDefault="000077B7" w:rsidP="000077B7">
      <w:pPr>
        <w:pStyle w:val="ListParagraph"/>
        <w:numPr>
          <w:ilvl w:val="0"/>
          <w:numId w:val="11"/>
        </w:numPr>
      </w:pPr>
      <w:r w:rsidRPr="00381E39">
        <w:t xml:space="preserve">Manufacturers shall have at least one </w:t>
      </w:r>
      <w:r w:rsidRPr="00E03600">
        <w:rPr>
          <w:b/>
          <w:bCs/>
        </w:rPr>
        <w:t>person responsible for regulatory compliance</w:t>
      </w:r>
    </w:p>
    <w:p w14:paraId="1839D9E8" w14:textId="77777777" w:rsidR="000077B7" w:rsidRDefault="000077B7" w:rsidP="000077B7">
      <w:pPr>
        <w:pStyle w:val="ListParagraph"/>
        <w:numPr>
          <w:ilvl w:val="0"/>
          <w:numId w:val="11"/>
        </w:numPr>
      </w:pPr>
      <w:r>
        <w:t xml:space="preserve">Register in an electronic system run by the EC to obtain their </w:t>
      </w:r>
      <w:r w:rsidRPr="00E03600">
        <w:rPr>
          <w:b/>
          <w:bCs/>
        </w:rPr>
        <w:t>registration number</w:t>
      </w:r>
      <w:r>
        <w:t xml:space="preserve"> </w:t>
      </w:r>
    </w:p>
    <w:p w14:paraId="7E69616F" w14:textId="77777777" w:rsidR="000077B7" w:rsidRDefault="000077B7" w:rsidP="000077B7">
      <w:r>
        <w:t>General obligations of importers</w:t>
      </w:r>
      <w:r w:rsidRPr="00381E39">
        <w:t xml:space="preserve"> </w:t>
      </w:r>
      <w:r>
        <w:t>and distributors also specified</w:t>
      </w:r>
    </w:p>
    <w:p w14:paraId="2BCBDC75" w14:textId="77777777" w:rsidR="000077B7" w:rsidRDefault="000077B7" w:rsidP="000077B7">
      <w:pPr>
        <w:pStyle w:val="Heading2"/>
      </w:pPr>
      <w:r w:rsidRPr="00D4018A">
        <w:t>EU declaration of conformity</w:t>
      </w:r>
      <w:r>
        <w:t xml:space="preserve">: </w:t>
      </w:r>
    </w:p>
    <w:p w14:paraId="46D5352B" w14:textId="77777777" w:rsidR="000077B7" w:rsidRDefault="000077B7" w:rsidP="000077B7">
      <w:r>
        <w:t>Shall state that the requirements specified in this Regulation have been fulfilled; the manufacturer shall continuously update it; shall, as a minimum, contain the information set out in Annex; by drawing up the EU declaration of conformity, the manufacturer shall assume responsibility for compliance with this Regulation and all other Union legislation applicable to the device.</w:t>
      </w:r>
    </w:p>
    <w:p w14:paraId="3BEB3F44" w14:textId="77777777" w:rsidR="000077B7" w:rsidRDefault="000077B7" w:rsidP="000077B7">
      <w:pPr>
        <w:pStyle w:val="Heading2"/>
      </w:pPr>
      <w:r>
        <w:t xml:space="preserve">‘UDI system’ - </w:t>
      </w:r>
      <w:r w:rsidRPr="00D4018A">
        <w:t>identification and traceability of devices</w:t>
      </w:r>
    </w:p>
    <w:p w14:paraId="4AE6E06E" w14:textId="77777777" w:rsidR="000077B7" w:rsidRDefault="000077B7" w:rsidP="000077B7">
      <w:pPr>
        <w:pStyle w:val="ListParagraph"/>
        <w:numPr>
          <w:ilvl w:val="0"/>
          <w:numId w:val="15"/>
        </w:numPr>
      </w:pPr>
      <w:r>
        <w:t>Identification within the supply chain; operators to achieve an appropriate level of traceability:</w:t>
      </w:r>
    </w:p>
    <w:p w14:paraId="163CB5CE" w14:textId="77777777" w:rsidR="000077B7" w:rsidRDefault="000077B7" w:rsidP="000077B7">
      <w:pPr>
        <w:pStyle w:val="ListParagraph"/>
        <w:numPr>
          <w:ilvl w:val="0"/>
          <w:numId w:val="12"/>
        </w:numPr>
      </w:pPr>
      <w:r>
        <w:t xml:space="preserve">A Unique Device Identification system </w:t>
      </w:r>
      <w:r w:rsidRPr="00E03600">
        <w:t>(</w:t>
      </w:r>
      <w:r w:rsidRPr="00E03600">
        <w:rPr>
          <w:b/>
          <w:bCs/>
        </w:rPr>
        <w:t>‘UDI system’</w:t>
      </w:r>
      <w:r>
        <w:rPr>
          <w:b/>
          <w:bCs/>
        </w:rPr>
        <w:t>)</w:t>
      </w:r>
      <w:r>
        <w:t xml:space="preserve"> must be on the label &amp; packaging; establishment of an E-system for UDI (‘UDI database’); to be used for reporting serious incidents </w:t>
      </w:r>
    </w:p>
    <w:p w14:paraId="32174B25" w14:textId="77777777" w:rsidR="000077B7" w:rsidRDefault="000077B7" w:rsidP="000077B7">
      <w:pPr>
        <w:pStyle w:val="ListParagraph"/>
        <w:numPr>
          <w:ilvl w:val="0"/>
          <w:numId w:val="12"/>
        </w:numPr>
      </w:pPr>
      <w:r>
        <w:t xml:space="preserve">The EC shall set up and manage an UDI database to validate, collate, process and publish info </w:t>
      </w:r>
    </w:p>
    <w:p w14:paraId="42AAA3D5" w14:textId="77777777" w:rsidR="000077B7" w:rsidRDefault="000077B7" w:rsidP="000077B7">
      <w:pPr>
        <w:pStyle w:val="ListParagraph"/>
        <w:numPr>
          <w:ilvl w:val="0"/>
          <w:numId w:val="12"/>
        </w:numPr>
      </w:pPr>
      <w:r>
        <w:t xml:space="preserve">The manufacturer shall assign an </w:t>
      </w:r>
      <w:r w:rsidRPr="00E03600">
        <w:rPr>
          <w:b/>
          <w:bCs/>
        </w:rPr>
        <w:t>UDI device identifier</w:t>
      </w:r>
      <w:r>
        <w:t xml:space="preserve"> to the device and add it to the </w:t>
      </w:r>
      <w:r w:rsidRPr="00E03600">
        <w:rPr>
          <w:b/>
          <w:bCs/>
        </w:rPr>
        <w:t xml:space="preserve">UDI </w:t>
      </w:r>
      <w:r>
        <w:rPr>
          <w:b/>
          <w:bCs/>
        </w:rPr>
        <w:t>D-B</w:t>
      </w:r>
      <w:r>
        <w:t xml:space="preserve">. </w:t>
      </w:r>
    </w:p>
    <w:p w14:paraId="275BF09B" w14:textId="77777777" w:rsidR="000077B7" w:rsidRDefault="000077B7" w:rsidP="000077B7">
      <w:pPr>
        <w:pStyle w:val="ListParagraph"/>
        <w:numPr>
          <w:ilvl w:val="0"/>
          <w:numId w:val="12"/>
        </w:numPr>
      </w:pPr>
      <w:r>
        <w:t xml:space="preserve">The notified body shall include a reference to the Basic UDI-DI on the certificate issued </w:t>
      </w:r>
    </w:p>
    <w:p w14:paraId="0D2A3611" w14:textId="77777777" w:rsidR="000077B7" w:rsidRDefault="000077B7" w:rsidP="000077B7">
      <w:pPr>
        <w:pStyle w:val="ListParagraph"/>
        <w:numPr>
          <w:ilvl w:val="0"/>
          <w:numId w:val="12"/>
        </w:numPr>
      </w:pPr>
      <w:r>
        <w:lastRenderedPageBreak/>
        <w:t xml:space="preserve">The Commission shall run a database to create the </w:t>
      </w:r>
      <w:r w:rsidRPr="00E03600">
        <w:rPr>
          <w:b/>
          <w:bCs/>
        </w:rPr>
        <w:t>single registration number</w:t>
      </w:r>
      <w:r>
        <w:t xml:space="preserve"> of manufacturers</w:t>
      </w:r>
    </w:p>
    <w:p w14:paraId="2768CFCB" w14:textId="77777777" w:rsidR="000077B7" w:rsidRDefault="000077B7" w:rsidP="000077B7">
      <w:pPr>
        <w:pStyle w:val="ListParagraph"/>
        <w:numPr>
          <w:ilvl w:val="0"/>
          <w:numId w:val="12"/>
        </w:numPr>
      </w:pPr>
      <w:r w:rsidRPr="0045423E">
        <w:rPr>
          <w:b/>
          <w:bCs/>
        </w:rPr>
        <w:t>Registration of</w:t>
      </w:r>
      <w:r w:rsidRPr="0045423E">
        <w:t xml:space="preserve"> </w:t>
      </w:r>
      <w:r>
        <w:t xml:space="preserve">manufacturers/ importers - shall submit </w:t>
      </w:r>
      <w:r w:rsidRPr="00E03600">
        <w:t xml:space="preserve">the required information </w:t>
      </w:r>
      <w:r>
        <w:t xml:space="preserve">to the D-B; the competent authority shall verify the data and obtain a single registration number (‘SRN’) from the D-B and issue it to the </w:t>
      </w:r>
      <w:proofErr w:type="gramStart"/>
      <w:r>
        <w:t>manufacturer;</w:t>
      </w:r>
      <w:proofErr w:type="gramEnd"/>
      <w:r>
        <w:t xml:space="preserve"> </w:t>
      </w:r>
    </w:p>
    <w:p w14:paraId="7AF85943" w14:textId="12C0A547" w:rsidR="000077B7" w:rsidRDefault="000077B7" w:rsidP="000077B7">
      <w:pPr>
        <w:pStyle w:val="ListParagraph"/>
        <w:numPr>
          <w:ilvl w:val="0"/>
          <w:numId w:val="12"/>
        </w:numPr>
      </w:pPr>
      <w:r w:rsidRPr="001545E7">
        <w:rPr>
          <w:b/>
          <w:bCs/>
        </w:rPr>
        <w:t>European database on medical devices</w:t>
      </w:r>
      <w:r>
        <w:rPr>
          <w:b/>
          <w:bCs/>
        </w:rPr>
        <w:t xml:space="preserve"> </w:t>
      </w:r>
      <w:r w:rsidRPr="001545E7">
        <w:t>(</w:t>
      </w:r>
      <w:proofErr w:type="spellStart"/>
      <w:r>
        <w:t>Eudamed</w:t>
      </w:r>
      <w:proofErr w:type="spellEnd"/>
      <w:r>
        <w:t>): EC shall set up, maintain and manage ‘</w:t>
      </w:r>
      <w:proofErr w:type="spellStart"/>
      <w:r>
        <w:t>Eudamed</w:t>
      </w:r>
      <w:proofErr w:type="spellEnd"/>
      <w:r>
        <w:t>’ containing D-Bs (a) registration of devices (b) the UDI-database (c) registration of economic operators (d) notified bodies and on certificates (e) clinical investigations; (f) vigilance and post-market surveillance; (g) market surveillance.</w:t>
      </w:r>
    </w:p>
    <w:p w14:paraId="56DF197A" w14:textId="77777777" w:rsidR="000077B7" w:rsidRDefault="000077B7" w:rsidP="000077B7">
      <w:pPr>
        <w:pStyle w:val="Heading2"/>
      </w:pPr>
      <w:r>
        <w:t xml:space="preserve">CE marking of conformity: </w:t>
      </w:r>
    </w:p>
    <w:p w14:paraId="47E1325D" w14:textId="77777777" w:rsidR="000077B7" w:rsidRDefault="000077B7" w:rsidP="000077B7">
      <w:r>
        <w:t>Devices, in conformity with the requirements of this Regulation shall bear the CE marking of conformity; followed by the ID number of the notified body responsible for the conformity.</w:t>
      </w:r>
    </w:p>
    <w:p w14:paraId="24855A39" w14:textId="77777777" w:rsidR="000077B7" w:rsidRPr="00E9056B" w:rsidRDefault="000077B7" w:rsidP="000077B7">
      <w:pPr>
        <w:pStyle w:val="Heading2"/>
      </w:pPr>
      <w:bookmarkStart w:id="11" w:name="_Hlk56867548"/>
      <w:r w:rsidRPr="00E9056B">
        <w:t xml:space="preserve">Notified Bodies </w:t>
      </w:r>
    </w:p>
    <w:p w14:paraId="2AE3125A" w14:textId="77777777" w:rsidR="000077B7" w:rsidRDefault="000077B7" w:rsidP="000077B7">
      <w:pPr>
        <w:pStyle w:val="ListParagraph"/>
        <w:numPr>
          <w:ilvl w:val="0"/>
          <w:numId w:val="12"/>
        </w:numPr>
      </w:pPr>
      <w:r>
        <w:t>MSs</w:t>
      </w:r>
      <w:r w:rsidRPr="00A74870">
        <w:t xml:space="preserve"> that designate a notified body, to carry out </w:t>
      </w:r>
      <w:r w:rsidRPr="00E9056B">
        <w:rPr>
          <w:b/>
          <w:bCs/>
        </w:rPr>
        <w:t>conformity assessment</w:t>
      </w:r>
      <w:r w:rsidRPr="00A74870">
        <w:t xml:space="preserve"> activities shall appoint an ‘</w:t>
      </w:r>
      <w:r w:rsidRPr="002D71E1">
        <w:rPr>
          <w:b/>
          <w:bCs/>
        </w:rPr>
        <w:t>authority responsible for notified bodies’</w:t>
      </w:r>
      <w:r>
        <w:rPr>
          <w:b/>
          <w:bCs/>
        </w:rPr>
        <w:t xml:space="preserve"> (ARNB)</w:t>
      </w:r>
    </w:p>
    <w:p w14:paraId="6443D1C6" w14:textId="77777777" w:rsidR="000077B7" w:rsidRDefault="000077B7" w:rsidP="000077B7">
      <w:pPr>
        <w:pStyle w:val="ListParagraph"/>
        <w:numPr>
          <w:ilvl w:val="0"/>
          <w:numId w:val="12"/>
        </w:numPr>
      </w:pPr>
      <w:r w:rsidRPr="00E9056B">
        <w:rPr>
          <w:b/>
          <w:bCs/>
        </w:rPr>
        <w:t>Requirements relating to notified bodies</w:t>
      </w:r>
      <w:r>
        <w:t>: as</w:t>
      </w:r>
      <w:r w:rsidRPr="00A74870">
        <w:t xml:space="preserve"> designated in accordance with this Regulation.</w:t>
      </w:r>
    </w:p>
    <w:p w14:paraId="18D372EC" w14:textId="77777777" w:rsidR="000077B7" w:rsidRDefault="000077B7" w:rsidP="000077B7">
      <w:pPr>
        <w:pStyle w:val="ListParagraph"/>
        <w:numPr>
          <w:ilvl w:val="0"/>
          <w:numId w:val="12"/>
        </w:numPr>
      </w:pPr>
      <w:bookmarkStart w:id="12" w:name="_Hlk56867626"/>
      <w:bookmarkEnd w:id="11"/>
      <w:r w:rsidRPr="00E9056B">
        <w:rPr>
          <w:b/>
          <w:bCs/>
        </w:rPr>
        <w:t>Monitoring</w:t>
      </w:r>
      <w:r>
        <w:t xml:space="preserve"> and re-assessment of notified bodies; </w:t>
      </w:r>
      <w:r w:rsidRPr="00E9056B">
        <w:rPr>
          <w:b/>
          <w:bCs/>
        </w:rPr>
        <w:t>Review</w:t>
      </w:r>
      <w:r>
        <w:t xml:space="preserve"> of notified body assessment of technical documentation and clinical evaluation documentation; </w:t>
      </w:r>
      <w:r w:rsidRPr="00E9056B">
        <w:rPr>
          <w:b/>
          <w:bCs/>
        </w:rPr>
        <w:t>Challenge</w:t>
      </w:r>
      <w:r>
        <w:t xml:space="preserve"> to the competence of notified bodies (NBs); </w:t>
      </w:r>
      <w:r w:rsidRPr="00E9056B">
        <w:rPr>
          <w:b/>
          <w:bCs/>
        </w:rPr>
        <w:t>Peer review</w:t>
      </w:r>
      <w:r>
        <w:t xml:space="preserve"> system; </w:t>
      </w:r>
      <w:r w:rsidRPr="00E9056B">
        <w:rPr>
          <w:b/>
          <w:bCs/>
        </w:rPr>
        <w:t>Coordination</w:t>
      </w:r>
      <w:r>
        <w:t xml:space="preserve"> of notified bodies</w:t>
      </w:r>
    </w:p>
    <w:bookmarkEnd w:id="12"/>
    <w:p w14:paraId="02EC80FC" w14:textId="77777777" w:rsidR="000077B7" w:rsidRDefault="000077B7" w:rsidP="000077B7">
      <w:pPr>
        <w:pStyle w:val="Heading2"/>
      </w:pPr>
      <w:r w:rsidRPr="00E9056B">
        <w:t>Application by conformity assessment bodies for designation</w:t>
      </w:r>
      <w:r>
        <w:t>:</w:t>
      </w:r>
    </w:p>
    <w:p w14:paraId="461CEE55" w14:textId="77777777" w:rsidR="000077B7" w:rsidRDefault="000077B7" w:rsidP="000077B7">
      <w:r>
        <w:t>C</w:t>
      </w:r>
      <w:r w:rsidRPr="00E9056B">
        <w:t xml:space="preserve">onformity assessment bodies </w:t>
      </w:r>
      <w:r w:rsidRPr="00A74870">
        <w:t xml:space="preserve">shall </w:t>
      </w:r>
      <w:proofErr w:type="gramStart"/>
      <w:r w:rsidRPr="00A74870">
        <w:t>submit an application</w:t>
      </w:r>
      <w:proofErr w:type="gramEnd"/>
      <w:r w:rsidRPr="00A74870">
        <w:t xml:space="preserve"> for designation to the authority responsible for notified bodies</w:t>
      </w:r>
      <w:r>
        <w:t xml:space="preserve"> (ARNB)</w:t>
      </w:r>
      <w:r w:rsidRPr="00A74870">
        <w:t>.</w:t>
      </w:r>
      <w:r>
        <w:t xml:space="preserve">  The application is assessed by </w:t>
      </w:r>
      <w:r w:rsidRPr="002D71E1">
        <w:t>ARNB</w:t>
      </w:r>
      <w:r>
        <w:t xml:space="preserve"> and this is peer reviewed by </w:t>
      </w:r>
      <w:r w:rsidRPr="00A74870">
        <w:t xml:space="preserve">joint assessment team </w:t>
      </w:r>
      <w:r>
        <w:t xml:space="preserve">(JAT) </w:t>
      </w:r>
      <w:r w:rsidRPr="00A74870">
        <w:t xml:space="preserve">of </w:t>
      </w:r>
      <w:r>
        <w:t>3</w:t>
      </w:r>
      <w:r w:rsidRPr="00A74870">
        <w:t xml:space="preserve"> experts</w:t>
      </w:r>
      <w:r>
        <w:t xml:space="preserve"> (1 = EC);</w:t>
      </w:r>
      <w:r w:rsidRPr="002D71E1">
        <w:t xml:space="preserve"> </w:t>
      </w:r>
      <w:r>
        <w:t xml:space="preserve">ARNB to </w:t>
      </w:r>
      <w:r w:rsidRPr="00352236">
        <w:t xml:space="preserve">conduct an on-site </w:t>
      </w:r>
      <w:r>
        <w:t>audit.</w:t>
      </w:r>
    </w:p>
    <w:p w14:paraId="5EF001DB" w14:textId="77777777" w:rsidR="000077B7" w:rsidRDefault="000077B7" w:rsidP="000077B7">
      <w:pPr>
        <w:pStyle w:val="Heading2"/>
      </w:pPr>
      <w:r>
        <w:t xml:space="preserve">Classification and Conformity Assessment </w:t>
      </w:r>
    </w:p>
    <w:p w14:paraId="38840A46" w14:textId="77777777" w:rsidR="000077B7" w:rsidRDefault="000077B7" w:rsidP="000077B7">
      <w:pPr>
        <w:pStyle w:val="ListParagraph"/>
        <w:numPr>
          <w:ilvl w:val="0"/>
          <w:numId w:val="13"/>
        </w:numPr>
      </w:pPr>
      <w:r>
        <w:t xml:space="preserve">Devices shall be </w:t>
      </w:r>
      <w:r w:rsidRPr="001D66D1">
        <w:rPr>
          <w:b/>
          <w:bCs/>
        </w:rPr>
        <w:t>divided into classes</w:t>
      </w:r>
      <w:r>
        <w:t xml:space="preserve"> A, B, C and D, taking into account the intended purpose of the devices and their inherent risks; dispute resolution </w:t>
      </w:r>
      <w:proofErr w:type="gramStart"/>
      <w:r>
        <w:t>mechanism;</w:t>
      </w:r>
      <w:proofErr w:type="gramEnd"/>
      <w:r>
        <w:t xml:space="preserve"> </w:t>
      </w:r>
    </w:p>
    <w:p w14:paraId="3C8ADF7E" w14:textId="77777777" w:rsidR="000077B7" w:rsidRDefault="000077B7" w:rsidP="000077B7">
      <w:pPr>
        <w:pStyle w:val="ListParagraph"/>
        <w:numPr>
          <w:ilvl w:val="0"/>
          <w:numId w:val="13"/>
        </w:numPr>
      </w:pPr>
      <w:r w:rsidRPr="001D66D1">
        <w:rPr>
          <w:b/>
          <w:bCs/>
        </w:rPr>
        <w:t>Conformity assessment procedures</w:t>
      </w:r>
      <w:r>
        <w:t xml:space="preserve">: manufacturers undertake an assessment of the conformity of the device, in accordance with the applicable conformity assessment procedures (which vary depending on the classification/risk) </w:t>
      </w:r>
    </w:p>
    <w:p w14:paraId="36ACCA3A" w14:textId="77777777" w:rsidR="000077B7" w:rsidRDefault="000077B7" w:rsidP="000077B7">
      <w:pPr>
        <w:pStyle w:val="ListParagraph"/>
        <w:numPr>
          <w:ilvl w:val="0"/>
          <w:numId w:val="13"/>
        </w:numPr>
      </w:pPr>
      <w:r w:rsidRPr="001D66D1">
        <w:rPr>
          <w:b/>
          <w:bCs/>
        </w:rPr>
        <w:t xml:space="preserve">Certificates of </w:t>
      </w:r>
      <w:proofErr w:type="gramStart"/>
      <w:r w:rsidRPr="001D66D1">
        <w:rPr>
          <w:b/>
          <w:bCs/>
        </w:rPr>
        <w:t>conformity</w:t>
      </w:r>
      <w:r>
        <w:t>:</w:t>
      </w:r>
      <w:proofErr w:type="gramEnd"/>
      <w:r>
        <w:t xml:space="preserve"> are issued by the notified bodies in accordance with Annexes IX to X</w:t>
      </w:r>
    </w:p>
    <w:p w14:paraId="1DD6EAAA" w14:textId="77777777" w:rsidR="000077B7" w:rsidRDefault="000077B7" w:rsidP="000077B7">
      <w:pPr>
        <w:pStyle w:val="ListParagraph"/>
        <w:numPr>
          <w:ilvl w:val="0"/>
          <w:numId w:val="13"/>
        </w:numPr>
      </w:pPr>
      <w:r>
        <w:t xml:space="preserve">The notified body shall notify the NCA of certificates it has granted to class D devices </w:t>
      </w:r>
    </w:p>
    <w:p w14:paraId="58F53C32" w14:textId="77777777" w:rsidR="000077B7" w:rsidRDefault="000077B7" w:rsidP="000077B7">
      <w:pPr>
        <w:pStyle w:val="ListParagraph"/>
        <w:numPr>
          <w:ilvl w:val="0"/>
          <w:numId w:val="13"/>
        </w:numPr>
      </w:pPr>
      <w:r w:rsidRPr="00D65BE1">
        <w:rPr>
          <w:b/>
          <w:bCs/>
        </w:rPr>
        <w:t>IVD in combination with a medicine</w:t>
      </w:r>
      <w:r>
        <w:t>: B</w:t>
      </w:r>
      <w:r w:rsidRPr="00D65BE1">
        <w:t xml:space="preserve">efore it can issue a CE certificate, the notified body must seek a scientific opinion from the </w:t>
      </w:r>
      <w:r>
        <w:t>EMA</w:t>
      </w:r>
      <w:r w:rsidRPr="00D65BE1">
        <w:t xml:space="preserve"> </w:t>
      </w:r>
      <w:r>
        <w:t>(</w:t>
      </w:r>
      <w:r w:rsidRPr="00D65BE1">
        <w:t>if</w:t>
      </w:r>
      <w:r>
        <w:t xml:space="preserve"> CP) or </w:t>
      </w:r>
      <w:r w:rsidRPr="00D65BE1">
        <w:t xml:space="preserve">a </w:t>
      </w:r>
      <w:r>
        <w:t xml:space="preserve">NCA </w:t>
      </w:r>
      <w:r w:rsidRPr="00D65BE1">
        <w:t>on the suitability of the companion diagnostic to the medicin</w:t>
      </w:r>
      <w:r>
        <w:t>e</w:t>
      </w:r>
      <w:r w:rsidRPr="00D65BE1">
        <w:t xml:space="preserve"> concerned </w:t>
      </w:r>
    </w:p>
    <w:p w14:paraId="53132C18" w14:textId="77777777" w:rsidR="000077B7" w:rsidRPr="000077B7" w:rsidRDefault="000077B7" w:rsidP="000077B7">
      <w:pPr>
        <w:pStyle w:val="Heading2"/>
      </w:pPr>
      <w:r w:rsidRPr="000077B7">
        <w:t>CLINICAL EVIDENCE, PERFORMANCE EVALUATION AND PERFORMANCE STUDIES</w:t>
      </w:r>
    </w:p>
    <w:p w14:paraId="218F7E12" w14:textId="77777777" w:rsidR="000077B7" w:rsidRDefault="000077B7" w:rsidP="000077B7">
      <w:r w:rsidRPr="007F39B0">
        <w:rPr>
          <w:b/>
          <w:bCs/>
        </w:rPr>
        <w:t>Performance evaluation</w:t>
      </w:r>
      <w:r w:rsidRPr="00236CEF">
        <w:t xml:space="preserve"> and clinical evidence</w:t>
      </w:r>
      <w:r>
        <w:t xml:space="preserve">: </w:t>
      </w:r>
      <w:r w:rsidRPr="00236CEF">
        <w:t xml:space="preserve">Confirmation of safety and performance requirements shall be based on scientific validity, analytical and clinical performance data providing sufficient clinical evidence, including </w:t>
      </w:r>
      <w:r>
        <w:t>if</w:t>
      </w:r>
      <w:r w:rsidRPr="00236CEF">
        <w:t xml:space="preserve"> applicable relevant data in </w:t>
      </w:r>
      <w:r>
        <w:t>‘</w:t>
      </w:r>
      <w:r w:rsidRPr="00236CEF">
        <w:t>Annex III</w:t>
      </w:r>
      <w:r>
        <w:t>’</w:t>
      </w:r>
      <w:r w:rsidRPr="00236CEF">
        <w:t>.</w:t>
      </w:r>
    </w:p>
    <w:p w14:paraId="18E43ADA" w14:textId="77777777" w:rsidR="000077B7" w:rsidRPr="009C6E93" w:rsidRDefault="000077B7" w:rsidP="000077B7">
      <w:pPr>
        <w:pStyle w:val="Heading2"/>
        <w:keepNext w:val="0"/>
        <w:rPr>
          <w:lang w:val="fr-BE"/>
        </w:rPr>
      </w:pPr>
      <w:r w:rsidRPr="009C6E93">
        <w:rPr>
          <w:lang w:val="fr-BE"/>
        </w:rPr>
        <w:t>POST-MARKET SURVEILLANCE, VIGILANCE AND MARKET SURVEILLANCE</w:t>
      </w:r>
    </w:p>
    <w:p w14:paraId="01CA2053" w14:textId="32E18010" w:rsidR="00FB0706" w:rsidRDefault="000077B7">
      <w:r>
        <w:t xml:space="preserve">Manufacturers shall establish, document, implement, and maintain a </w:t>
      </w:r>
      <w:r w:rsidRPr="007F39B0">
        <w:rPr>
          <w:b/>
          <w:bCs/>
        </w:rPr>
        <w:t>post-market surveillance system</w:t>
      </w:r>
      <w:r>
        <w:t xml:space="preserve"> in a manner that is proportionate to the risk class</w:t>
      </w:r>
      <w:r w:rsidRPr="000077B7">
        <w:t>.</w:t>
      </w:r>
      <w:r w:rsidR="00FB0706">
        <w:br w:type="page"/>
      </w:r>
    </w:p>
    <w:bookmarkStart w:id="13" w:name="_Annex_4:_National"/>
    <w:bookmarkEnd w:id="13"/>
    <w:p w14:paraId="7FCC9295" w14:textId="6171B616" w:rsidR="00064B40" w:rsidRPr="00FB0706" w:rsidRDefault="00D61166" w:rsidP="00FB0706">
      <w:pPr>
        <w:pStyle w:val="Heading1"/>
        <w:rPr>
          <w:b/>
          <w:bCs/>
        </w:rPr>
      </w:pPr>
      <w:r>
        <w:rPr>
          <w:b/>
          <w:bCs/>
          <w:noProof/>
        </w:rPr>
        <w:lastRenderedPageBreak/>
        <mc:AlternateContent>
          <mc:Choice Requires="wps">
            <w:drawing>
              <wp:anchor distT="0" distB="0" distL="114300" distR="114300" simplePos="0" relativeHeight="251661312" behindDoc="0" locked="0" layoutInCell="1" allowOverlap="1" wp14:anchorId="626342DB" wp14:editId="685F4070">
                <wp:simplePos x="0" y="0"/>
                <wp:positionH relativeFrom="column">
                  <wp:posOffset>5267325</wp:posOffset>
                </wp:positionH>
                <wp:positionV relativeFrom="paragraph">
                  <wp:posOffset>-38735</wp:posOffset>
                </wp:positionV>
                <wp:extent cx="561975" cy="295275"/>
                <wp:effectExtent l="0" t="0" r="28575" b="28575"/>
                <wp:wrapNone/>
                <wp:docPr id="9" name="Text Box 9"/>
                <wp:cNvGraphicFramePr/>
                <a:graphic xmlns:a="http://schemas.openxmlformats.org/drawingml/2006/main">
                  <a:graphicData uri="http://schemas.microsoft.com/office/word/2010/wordprocessingShape">
                    <wps:wsp>
                      <wps:cNvSpPr txBox="1"/>
                      <wps:spPr>
                        <a:xfrm>
                          <a:off x="0" y="0"/>
                          <a:ext cx="561975" cy="295275"/>
                        </a:xfrm>
                        <a:prstGeom prst="rect">
                          <a:avLst/>
                        </a:prstGeom>
                        <a:solidFill>
                          <a:schemeClr val="lt1"/>
                        </a:solidFill>
                        <a:ln w="6350">
                          <a:solidFill>
                            <a:prstClr val="black"/>
                          </a:solidFill>
                        </a:ln>
                      </wps:spPr>
                      <wps:txbx>
                        <w:txbxContent>
                          <w:p w14:paraId="0FFABA1C" w14:textId="77777777" w:rsidR="00D61166" w:rsidRDefault="0085751F" w:rsidP="00D61166">
                            <w:hyperlink w:anchor="_Current_activities_and" w:history="1">
                              <w:r w:rsidR="00D61166" w:rsidRPr="00D61166">
                                <w:rPr>
                                  <w:rStyle w:val="Hyperlink"/>
                                </w:rPr>
                                <w:t>Back</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26342DB" id="Text Box 9" o:spid="_x0000_s1027" type="#_x0000_t202" style="position:absolute;margin-left:414.75pt;margin-top:-3.05pt;width:44.25pt;height:23.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" fillcolor="white [3201]" strokeweight=".5pt">
                <v:textbox>
                  <w:txbxContent>
                    <w:p w14:paraId="0FFABA1C" w14:textId="77777777" w:rsidR="00D61166" w:rsidRDefault="00975890" w:rsidP="00D61166">
                      <w:hyperlink w:anchor="_Current_activities_and" w:history="1">
                        <w:r w:rsidR="00D61166" w:rsidRPr="00D61166">
                          <w:rPr>
                            <w:rStyle w:val="Hyperlink"/>
                          </w:rPr>
                          <w:t>Back</w:t>
                        </w:r>
                      </w:hyperlink>
                    </w:p>
                  </w:txbxContent>
                </v:textbox>
              </v:shape>
            </w:pict>
          </mc:Fallback>
        </mc:AlternateContent>
      </w:r>
      <w:r w:rsidR="00FB0706" w:rsidRPr="00FB0706">
        <w:rPr>
          <w:b/>
          <w:bCs/>
        </w:rPr>
        <w:t xml:space="preserve">Annex 4: </w:t>
      </w:r>
      <w:bookmarkStart w:id="14" w:name="_Hlk71297559"/>
      <w:r w:rsidR="00FB0706" w:rsidRPr="00FB0706">
        <w:rPr>
          <w:b/>
          <w:bCs/>
        </w:rPr>
        <w:t>National legislation on veterinary IVDs</w:t>
      </w:r>
      <w:bookmarkEnd w:id="14"/>
    </w:p>
    <w:p w14:paraId="42309B33" w14:textId="77D1C53B" w:rsidR="00A86FA8" w:rsidRPr="00F15EE9" w:rsidRDefault="00F56F6D" w:rsidP="00A86FA8">
      <w:pPr>
        <w:pStyle w:val="Heading2"/>
      </w:pPr>
      <w:r w:rsidRPr="00F15EE9">
        <w:t>Spain</w:t>
      </w:r>
    </w:p>
    <w:p w14:paraId="36FA3361" w14:textId="263AADDF" w:rsidR="00A86FA8" w:rsidRPr="00F15EE9" w:rsidRDefault="00F56F6D" w:rsidP="00A86FA8">
      <w:pPr>
        <w:rPr>
          <w:rFonts w:cstheme="minorHAnsi"/>
        </w:rPr>
      </w:pPr>
      <w:r w:rsidRPr="00F15EE9">
        <w:rPr>
          <w:rFonts w:cstheme="minorHAnsi"/>
          <w:color w:val="000000"/>
        </w:rPr>
        <w:t>All d</w:t>
      </w:r>
      <w:r w:rsidR="00A86FA8" w:rsidRPr="00F15EE9">
        <w:rPr>
          <w:rFonts w:cstheme="minorHAnsi"/>
          <w:color w:val="000000"/>
        </w:rPr>
        <w:t>iagnostics are regulated in Spain. The rules have been recently reviewed with the publication of a new</w:t>
      </w:r>
      <w:r w:rsidR="00A86FA8" w:rsidRPr="00F15EE9">
        <w:rPr>
          <w:rStyle w:val="apple-converted-space"/>
          <w:rFonts w:cstheme="minorHAnsi"/>
          <w:color w:val="000000"/>
        </w:rPr>
        <w:t> </w:t>
      </w:r>
      <w:hyperlink r:id="rId16" w:history="1">
        <w:r w:rsidR="00A86FA8" w:rsidRPr="00F15EE9">
          <w:rPr>
            <w:rStyle w:val="Hyperlink"/>
            <w:rFonts w:cstheme="minorHAnsi"/>
          </w:rPr>
          <w:t>Royal Decree</w:t>
        </w:r>
      </w:hyperlink>
      <w:r w:rsidR="00A86FA8" w:rsidRPr="00F15EE9">
        <w:rPr>
          <w:rFonts w:cstheme="minorHAnsi"/>
          <w:color w:val="000000"/>
        </w:rPr>
        <w:t>. In summary:</w:t>
      </w:r>
    </w:p>
    <w:p w14:paraId="7191CCAC" w14:textId="61CDFC6B" w:rsidR="00A86FA8" w:rsidRPr="00F15EE9" w:rsidRDefault="00A86FA8" w:rsidP="00A86FA8">
      <w:pPr>
        <w:rPr>
          <w:rFonts w:cstheme="minorHAnsi"/>
          <w:color w:val="000000"/>
        </w:rPr>
      </w:pPr>
      <w:r w:rsidRPr="00F15EE9">
        <w:rPr>
          <w:rFonts w:cstheme="minorHAnsi"/>
          <w:color w:val="000000"/>
          <w:highlight w:val="yellow"/>
        </w:rPr>
        <w:t>Diagnostic reagent</w:t>
      </w:r>
      <w:r w:rsidR="00F15EE9" w:rsidRPr="00F15EE9">
        <w:rPr>
          <w:rFonts w:cstheme="minorHAnsi"/>
          <w:color w:val="000000"/>
        </w:rPr>
        <w:t>s</w:t>
      </w:r>
      <w:r w:rsidRPr="00F15EE9">
        <w:rPr>
          <w:rFonts w:cstheme="minorHAnsi"/>
          <w:color w:val="000000"/>
        </w:rPr>
        <w:t xml:space="preserve"> for animal diseases must be authorised by the Ministry of Agriculture and need a registration number prior to </w:t>
      </w:r>
      <w:r w:rsidR="00F15EE9" w:rsidRPr="00F15EE9">
        <w:rPr>
          <w:rFonts w:cstheme="minorHAnsi"/>
          <w:color w:val="000000"/>
        </w:rPr>
        <w:t>commercialisation</w:t>
      </w:r>
      <w:r w:rsidRPr="00F15EE9">
        <w:rPr>
          <w:rFonts w:cstheme="minorHAnsi"/>
          <w:color w:val="000000"/>
        </w:rPr>
        <w:t>.</w:t>
      </w:r>
    </w:p>
    <w:p w14:paraId="0165CA57" w14:textId="72F66CE0" w:rsidR="00A86FA8" w:rsidRPr="00F15EE9" w:rsidRDefault="00A86FA8" w:rsidP="00A86FA8">
      <w:pPr>
        <w:pStyle w:val="ListParagraph"/>
        <w:numPr>
          <w:ilvl w:val="0"/>
          <w:numId w:val="17"/>
        </w:numPr>
        <w:spacing w:after="0" w:line="240" w:lineRule="auto"/>
        <w:contextualSpacing w:val="0"/>
        <w:rPr>
          <w:rFonts w:cstheme="minorHAnsi"/>
          <w:color w:val="000000"/>
        </w:rPr>
      </w:pPr>
      <w:r w:rsidRPr="00F15EE9">
        <w:rPr>
          <w:rFonts w:cstheme="minorHAnsi"/>
          <w:color w:val="000000"/>
        </w:rPr>
        <w:t>Besides, diagnostics reagents for</w:t>
      </w:r>
      <w:r w:rsidRPr="00F15EE9">
        <w:rPr>
          <w:rStyle w:val="apple-converted-space"/>
          <w:rFonts w:cstheme="minorHAnsi"/>
          <w:color w:val="000000"/>
        </w:rPr>
        <w:t> </w:t>
      </w:r>
      <w:r w:rsidRPr="00F15EE9">
        <w:rPr>
          <w:rFonts w:cstheme="minorHAnsi"/>
          <w:color w:val="000000"/>
          <w:u w:val="single"/>
        </w:rPr>
        <w:t>notifiable</w:t>
      </w:r>
      <w:r w:rsidRPr="00F15EE9">
        <w:rPr>
          <w:rStyle w:val="apple-converted-space"/>
          <w:rFonts w:cstheme="minorHAnsi"/>
          <w:color w:val="000000"/>
        </w:rPr>
        <w:t> </w:t>
      </w:r>
      <w:r w:rsidRPr="00F15EE9">
        <w:rPr>
          <w:rFonts w:cstheme="minorHAnsi"/>
          <w:color w:val="000000"/>
        </w:rPr>
        <w:t>animal diseases must be tested in an official laboratory prior to authorisation.</w:t>
      </w:r>
    </w:p>
    <w:p w14:paraId="391015CA" w14:textId="24431C63" w:rsidR="00A86FA8" w:rsidRPr="00F15EE9" w:rsidRDefault="00A86FA8" w:rsidP="00A86FA8">
      <w:pPr>
        <w:pStyle w:val="ListParagraph"/>
        <w:numPr>
          <w:ilvl w:val="0"/>
          <w:numId w:val="17"/>
        </w:numPr>
        <w:spacing w:after="0" w:line="240" w:lineRule="auto"/>
        <w:contextualSpacing w:val="0"/>
        <w:rPr>
          <w:rFonts w:cstheme="minorHAnsi"/>
          <w:color w:val="000000"/>
        </w:rPr>
      </w:pPr>
      <w:r w:rsidRPr="00F15EE9">
        <w:rPr>
          <w:rFonts w:cstheme="minorHAnsi"/>
          <w:color w:val="000000"/>
        </w:rPr>
        <w:t>The Company marketing diagnostics for animal diseases have to be register</w:t>
      </w:r>
      <w:r w:rsidR="00F15EE9">
        <w:rPr>
          <w:rFonts w:cstheme="minorHAnsi"/>
          <w:color w:val="000000"/>
        </w:rPr>
        <w:t>e</w:t>
      </w:r>
      <w:r w:rsidRPr="00F15EE9">
        <w:rPr>
          <w:rFonts w:cstheme="minorHAnsi"/>
          <w:color w:val="000000"/>
        </w:rPr>
        <w:t>d too.</w:t>
      </w:r>
    </w:p>
    <w:p w14:paraId="07D7DDAA" w14:textId="36598B55" w:rsidR="00F56F6D" w:rsidRPr="00F15EE9" w:rsidRDefault="00A86FA8" w:rsidP="00A86FA8">
      <w:pPr>
        <w:pStyle w:val="ListParagraph"/>
        <w:numPr>
          <w:ilvl w:val="0"/>
          <w:numId w:val="17"/>
        </w:numPr>
        <w:spacing w:after="0" w:line="240" w:lineRule="auto"/>
        <w:contextualSpacing w:val="0"/>
        <w:rPr>
          <w:rStyle w:val="apple-converted-space"/>
          <w:rFonts w:cstheme="minorHAnsi"/>
          <w:color w:val="000000"/>
        </w:rPr>
      </w:pPr>
      <w:r w:rsidRPr="00F15EE9">
        <w:rPr>
          <w:rFonts w:cstheme="minorHAnsi"/>
          <w:color w:val="000000"/>
        </w:rPr>
        <w:t>A communication to the Ministry of Agriculture if needed in the case of diagnostics for physiological parameters such as glucometer, etc. (responsible declaration)</w:t>
      </w:r>
      <w:r w:rsidRPr="00F15EE9">
        <w:rPr>
          <w:rStyle w:val="apple-converted-space"/>
          <w:rFonts w:cstheme="minorHAnsi"/>
          <w:color w:val="000000"/>
        </w:rPr>
        <w:t> </w:t>
      </w:r>
    </w:p>
    <w:p w14:paraId="0A08C756" w14:textId="77777777" w:rsidR="00F56F6D" w:rsidRPr="00F15EE9" w:rsidRDefault="00F56F6D" w:rsidP="00F56F6D">
      <w:pPr>
        <w:spacing w:after="0" w:line="240" w:lineRule="auto"/>
        <w:rPr>
          <w:rStyle w:val="apple-converted-space"/>
          <w:rFonts w:cstheme="minorHAnsi"/>
          <w:color w:val="000000"/>
        </w:rPr>
      </w:pPr>
    </w:p>
    <w:p w14:paraId="0ED63215" w14:textId="3DA4DA02" w:rsidR="00A86FA8" w:rsidRPr="00F15EE9" w:rsidRDefault="00A86FA8" w:rsidP="00F56F6D">
      <w:pPr>
        <w:spacing w:after="0" w:line="240" w:lineRule="auto"/>
        <w:rPr>
          <w:rFonts w:cstheme="minorHAnsi"/>
          <w:color w:val="000000"/>
        </w:rPr>
      </w:pPr>
      <w:r w:rsidRPr="00F15EE9">
        <w:rPr>
          <w:rFonts w:cstheme="minorHAnsi"/>
          <w:color w:val="000000"/>
        </w:rPr>
        <w:t>Some diagnostics, such as tuberculin, must be registered as veterinary medicines.</w:t>
      </w:r>
    </w:p>
    <w:p w14:paraId="3AF2DC83" w14:textId="77777777" w:rsidR="00F56F6D" w:rsidRPr="00F15EE9" w:rsidRDefault="00F56F6D" w:rsidP="00F56F6D">
      <w:pPr>
        <w:spacing w:after="0" w:line="240" w:lineRule="auto"/>
        <w:rPr>
          <w:rFonts w:cstheme="minorHAnsi"/>
          <w:color w:val="000000"/>
        </w:rPr>
      </w:pPr>
    </w:p>
    <w:p w14:paraId="6E9E223C" w14:textId="77777777" w:rsidR="00F56F6D" w:rsidRPr="00F15EE9" w:rsidRDefault="00F56F6D" w:rsidP="00F56F6D">
      <w:pPr>
        <w:pStyle w:val="Heading3"/>
      </w:pPr>
      <w:r w:rsidRPr="00F15EE9">
        <w:t>Regulatory requirements</w:t>
      </w:r>
    </w:p>
    <w:p w14:paraId="43944A83" w14:textId="4D0B3937" w:rsidR="00F56F6D" w:rsidRPr="00F15EE9" w:rsidRDefault="00F56F6D" w:rsidP="00F56F6D">
      <w:pPr>
        <w:rPr>
          <w:rFonts w:cstheme="minorHAnsi"/>
          <w:color w:val="000000"/>
        </w:rPr>
      </w:pPr>
      <w:r w:rsidRPr="00F15EE9">
        <w:rPr>
          <w:rFonts w:cstheme="minorHAnsi"/>
          <w:color w:val="000000"/>
        </w:rPr>
        <w:t>Before marketing, all products, manufacturers, and importers must be authorized by the competent authority. The required data are mainly administrative. Technical documentation is relatively limited and does not have a prescribed format, the authority does not require samples of the product and does not perform their testing. Free sale certificates issued by foreign countries may be recognized provided that they were based on a sufficient pre-market control. All forms and instructions are in Spanish and are available online.</w:t>
      </w:r>
    </w:p>
    <w:p w14:paraId="3C6FC476" w14:textId="2AFB6107" w:rsidR="00F56F6D" w:rsidRPr="00F15EE9" w:rsidRDefault="00F56F6D" w:rsidP="00F56F6D">
      <w:pPr>
        <w:rPr>
          <w:rFonts w:cstheme="minorHAnsi"/>
          <w:color w:val="000000"/>
        </w:rPr>
      </w:pPr>
      <w:r w:rsidRPr="00F15EE9">
        <w:rPr>
          <w:rFonts w:cstheme="minorHAnsi"/>
          <w:color w:val="000000"/>
        </w:rPr>
        <w:t>All products must be listed in a register of approved products which currently contains approximately 2,400 items.</w:t>
      </w:r>
    </w:p>
    <w:p w14:paraId="3312D69F" w14:textId="74C068E7" w:rsidR="003E654A" w:rsidRDefault="003E654A" w:rsidP="003E654A">
      <w:pPr>
        <w:pStyle w:val="Heading2"/>
      </w:pPr>
      <w:r>
        <w:t>Germany</w:t>
      </w:r>
    </w:p>
    <w:p w14:paraId="4D7B8FDD" w14:textId="77777777" w:rsidR="003E654A" w:rsidRDefault="003E654A" w:rsidP="003E654A">
      <w:pPr>
        <w:pStyle w:val="Heading3"/>
      </w:pPr>
      <w:r>
        <w:t xml:space="preserve">Legal framework </w:t>
      </w:r>
    </w:p>
    <w:p w14:paraId="6709AF04" w14:textId="591ADEDA" w:rsidR="003E654A" w:rsidRDefault="003E654A" w:rsidP="003E654A">
      <w:r>
        <w:t xml:space="preserve">Selected veterinary IVDs are subject to specific national regulation. IVDs are divided into 2 groups based on their design and origin.  The remaining products (e.g. electromedical devices such as blood biochemistry </w:t>
      </w:r>
      <w:r w:rsidR="00F15EE9">
        <w:t>analysers</w:t>
      </w:r>
      <w:r>
        <w:t>) are only subject to general legislation such as the Animal Protection Act or Product Safety Act.  Regulated products are:</w:t>
      </w:r>
    </w:p>
    <w:p w14:paraId="798C1400" w14:textId="59C0F1D5" w:rsidR="003E654A" w:rsidRDefault="003E654A" w:rsidP="003E654A">
      <w:r>
        <w:t xml:space="preserve">A. </w:t>
      </w:r>
      <w:r w:rsidRPr="003E654A">
        <w:rPr>
          <w:b/>
          <w:bCs/>
        </w:rPr>
        <w:t>Diagnostic substances</w:t>
      </w:r>
      <w:r>
        <w:t xml:space="preserve"> and reagents that were not manufactured using pathogens or biotechnologically (e.g. reagents for enzyme assays, electrolyte analysis, or clinical </w:t>
      </w:r>
      <w:r w:rsidR="00F15EE9">
        <w:t>haematology</w:t>
      </w:r>
      <w:r>
        <w:t xml:space="preserve">) classify as “fictitious” medicinal products. They are subject to the </w:t>
      </w:r>
      <w:r w:rsidRPr="003E654A">
        <w:rPr>
          <w:b/>
          <w:bCs/>
        </w:rPr>
        <w:t>German Medicinal Products Act</w:t>
      </w:r>
      <w:r>
        <w:t xml:space="preserve"> and fall under the jurisdiction of Federal Office of Consumer Protection and Food Safety.</w:t>
      </w:r>
    </w:p>
    <w:p w14:paraId="0DE84541" w14:textId="15773281" w:rsidR="003E654A" w:rsidRDefault="003E654A" w:rsidP="003E654A">
      <w:r>
        <w:t xml:space="preserve">B. </w:t>
      </w:r>
      <w:r w:rsidRPr="003E654A">
        <w:rPr>
          <w:b/>
          <w:bCs/>
        </w:rPr>
        <w:t>Diagnostic products</w:t>
      </w:r>
      <w:r>
        <w:t xml:space="preserve"> that were manufactured with the help of pathogens, biochemical, or biotechnological procedures, or chemical synthesis. Of these, only products diagnosing selected epizootic diseases are further regulated. They fall under the jurisdiction of the Friedrich Loeffler Institute.</w:t>
      </w:r>
    </w:p>
    <w:p w14:paraId="22B58ED4" w14:textId="12026DCD" w:rsidR="003E654A" w:rsidRDefault="003E654A" w:rsidP="003E654A">
      <w:pPr>
        <w:pStyle w:val="Heading3"/>
      </w:pPr>
      <w:r>
        <w:t xml:space="preserve">Regulatory requirements </w:t>
      </w:r>
    </w:p>
    <w:p w14:paraId="2A35280B" w14:textId="6020251F" w:rsidR="003E654A" w:rsidRDefault="003E654A" w:rsidP="003E654A">
      <w:r>
        <w:t>A. “Fictitious” medicinal products are perceived as low risk. They are privileged compared to regular medicinal products and can be marketed freely provided that they have been manufactured under the GMP standards.</w:t>
      </w:r>
    </w:p>
    <w:p w14:paraId="589D3020" w14:textId="022A7704" w:rsidR="00FB0706" w:rsidRDefault="003E654A" w:rsidP="003E654A">
      <w:r>
        <w:t xml:space="preserve">B. Diagnostic products - of these, only products intended for the diagnosis of notifiable </w:t>
      </w:r>
      <w:r w:rsidR="00C80212">
        <w:t>(</w:t>
      </w:r>
      <w:r w:rsidR="00C80212" w:rsidRPr="00C80212">
        <w:t>35 high risk diseases</w:t>
      </w:r>
      <w:r w:rsidR="00C80212">
        <w:t>)</w:t>
      </w:r>
      <w:r w:rsidR="00C80212" w:rsidRPr="00C80212">
        <w:t xml:space="preserve"> </w:t>
      </w:r>
      <w:r>
        <w:t xml:space="preserve">or </w:t>
      </w:r>
      <w:r w:rsidRPr="003E654A">
        <w:t xml:space="preserve">reportable </w:t>
      </w:r>
      <w:r w:rsidR="00C80212">
        <w:t>(</w:t>
      </w:r>
      <w:r w:rsidR="00C80212" w:rsidRPr="00C80212">
        <w:t>23 diseases of lower risk</w:t>
      </w:r>
      <w:r w:rsidR="00C80212">
        <w:t>)</w:t>
      </w:r>
      <w:r w:rsidR="00C80212" w:rsidRPr="00C80212">
        <w:t xml:space="preserve"> </w:t>
      </w:r>
      <w:r>
        <w:t>animal diseases are further regulated.</w:t>
      </w:r>
    </w:p>
    <w:p w14:paraId="32248EC0" w14:textId="45886377" w:rsidR="00812076" w:rsidRDefault="00812076" w:rsidP="003E654A">
      <w:r w:rsidRPr="00812076">
        <w:lastRenderedPageBreak/>
        <w:t xml:space="preserve">Compliant products are entered on the </w:t>
      </w:r>
      <w:hyperlink r:id="rId17" w:history="1">
        <w:r w:rsidRPr="00812076">
          <w:rPr>
            <w:rStyle w:val="Hyperlink"/>
          </w:rPr>
          <w:t>list</w:t>
        </w:r>
      </w:hyperlink>
      <w:r w:rsidRPr="00812076">
        <w:t xml:space="preserve"> of approved products which is available online and currently contains approximately 270 items.</w:t>
      </w:r>
    </w:p>
    <w:p w14:paraId="51E02715" w14:textId="77777777" w:rsidR="00F56F6D" w:rsidRDefault="00F56F6D" w:rsidP="00F56F6D">
      <w:pPr>
        <w:pStyle w:val="Heading2"/>
      </w:pPr>
      <w:r>
        <w:t xml:space="preserve">Poland </w:t>
      </w:r>
    </w:p>
    <w:p w14:paraId="6D3BF1B5" w14:textId="19617DC5" w:rsidR="00F56F6D" w:rsidRDefault="00F56F6D" w:rsidP="00F56F6D">
      <w:r>
        <w:t>In Poland, only selected veterinary IVDs are regulated, as defined by the Animal Health Act 2004</w:t>
      </w:r>
      <w:r w:rsidR="00F463FD">
        <w:t xml:space="preserve"> </w:t>
      </w:r>
      <w:r>
        <w:t>(“in vitro test and reagents for the diagnosis of infectious animal diseases, including zoonoses, residues of prohibited substances and biological impurities in animal issues and products of animal origin”).</w:t>
      </w:r>
    </w:p>
    <w:p w14:paraId="627AD1EB" w14:textId="77777777" w:rsidR="00F56F6D" w:rsidRDefault="00F56F6D" w:rsidP="00F56F6D">
      <w:pPr>
        <w:pStyle w:val="Heading3"/>
      </w:pPr>
      <w:r>
        <w:t>Regulatory requirements</w:t>
      </w:r>
    </w:p>
    <w:p w14:paraId="1CD420FB" w14:textId="287D88D0" w:rsidR="00F56F6D" w:rsidRDefault="00F56F6D" w:rsidP="00F56F6D">
      <w:r>
        <w:t xml:space="preserve">All abovementioned diagnostic products are regulated in the same manner. Before marketing, a </w:t>
      </w:r>
      <w:r w:rsidR="00F15EE9">
        <w:t>favourable</w:t>
      </w:r>
      <w:r>
        <w:t xml:space="preserve"> opinion of the National Veterinary Research Institute must be obtained (20). The application shall contain the name and address of the applicant, the commercial and technical name of the product, its intended use, packaging and package insert in Polish, information about product testing, and a sample of the product. The review of the application takes up to 60 days and the applicant is obliged to pay a fee. The opinion is valid for 5 years. Besides this regular process, the Minister of Agriculture can authorize the use of products without a proper review if their use is necessary for important public interest or to save the life or health of animals.</w:t>
      </w:r>
    </w:p>
    <w:p w14:paraId="1101F349" w14:textId="6ABD032F" w:rsidR="00F56F6D" w:rsidRDefault="00F56F6D" w:rsidP="00F56F6D">
      <w:r>
        <w:t>All approved products must be listed in a publicly available database of veterinary diagnostic products which currently contains ~300 products with valid registration.</w:t>
      </w:r>
    </w:p>
    <w:p w14:paraId="1C5CAFF6" w14:textId="2280F3F0" w:rsidR="00F56F6D" w:rsidRDefault="00F56F6D" w:rsidP="00F56F6D">
      <w:r>
        <w:t>During the post-marketing phase, all changes to the product must be reported to the National Veterinary Research Institute 60 days before the planned change is made.</w:t>
      </w:r>
    </w:p>
    <w:p w14:paraId="481B0705" w14:textId="023B0DA5" w:rsidR="00F56F6D" w:rsidRDefault="00F56F6D" w:rsidP="00F56F6D"/>
    <w:p w14:paraId="2E8720F3" w14:textId="466C355A" w:rsidR="00F56F6D" w:rsidRDefault="00F56F6D" w:rsidP="00F56F6D">
      <w:pPr>
        <w:pStyle w:val="Heading2"/>
      </w:pPr>
      <w:r>
        <w:t>France</w:t>
      </w:r>
    </w:p>
    <w:p w14:paraId="4047A07D" w14:textId="2F29C0F6" w:rsidR="00F56F6D" w:rsidRPr="00FB0706" w:rsidRDefault="00F56F6D" w:rsidP="00F56F6D">
      <w:proofErr w:type="spellStart"/>
      <w:r>
        <w:t>tbd</w:t>
      </w:r>
      <w:proofErr w:type="spellEnd"/>
    </w:p>
    <w:sectPr w:rsidR="00F56F6D" w:rsidRPr="00FB0706" w:rsidSect="00AE6FF2">
      <w:headerReference w:type="default" r:id="rId18"/>
      <w:footerReference w:type="default" r:id="rId19"/>
      <w:pgSz w:w="11906" w:h="16838"/>
      <w:pgMar w:top="1440"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BC92B6" w14:textId="77777777" w:rsidR="00AE6FF2" w:rsidRDefault="00AE6FF2" w:rsidP="00AE6FF2">
      <w:pPr>
        <w:spacing w:after="0" w:line="240" w:lineRule="auto"/>
      </w:pPr>
      <w:r>
        <w:separator/>
      </w:r>
    </w:p>
  </w:endnote>
  <w:endnote w:type="continuationSeparator" w:id="0">
    <w:p w14:paraId="12ECA865" w14:textId="77777777" w:rsidR="00AE6FF2" w:rsidRDefault="00AE6FF2" w:rsidP="00AE6F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9769959"/>
      <w:docPartObj>
        <w:docPartGallery w:val="Page Numbers (Bottom of Page)"/>
        <w:docPartUnique/>
      </w:docPartObj>
    </w:sdtPr>
    <w:sdtEndPr>
      <w:rPr>
        <w:noProof/>
      </w:rPr>
    </w:sdtEndPr>
    <w:sdtContent>
      <w:p w14:paraId="37DAD311" w14:textId="6B3311C3" w:rsidR="00804B96" w:rsidRDefault="00804B96" w:rsidP="00804B96">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2C3ADC" w14:textId="77777777" w:rsidR="00AE6FF2" w:rsidRDefault="00AE6FF2" w:rsidP="00AE6FF2">
      <w:pPr>
        <w:spacing w:after="0" w:line="240" w:lineRule="auto"/>
      </w:pPr>
      <w:r>
        <w:separator/>
      </w:r>
    </w:p>
  </w:footnote>
  <w:footnote w:type="continuationSeparator" w:id="0">
    <w:p w14:paraId="6F445B5D" w14:textId="77777777" w:rsidR="00AE6FF2" w:rsidRDefault="00AE6FF2" w:rsidP="00AE6F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DA180" w14:textId="2E8B9B5B" w:rsidR="00AE6FF2" w:rsidRDefault="00AE4261">
    <w:pPr>
      <w:pStyle w:val="Header"/>
    </w:pPr>
    <w:r>
      <w:t>Dr3</w:t>
    </w:r>
    <w:r w:rsidR="00E12673">
      <w:t>.1</w:t>
    </w:r>
    <w:r>
      <w:t xml:space="preserve"> </w:t>
    </w:r>
    <w:r w:rsidR="00367111">
      <w:t>0</w:t>
    </w:r>
    <w:r>
      <w:t>4</w:t>
    </w:r>
    <w:r w:rsidR="00AE6FF2">
      <w:t xml:space="preserve"> </w:t>
    </w:r>
    <w:r>
      <w:t>May</w:t>
    </w:r>
    <w:r w:rsidR="00AE6FF2">
      <w:t xml:space="preserve">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1777A"/>
    <w:multiLevelType w:val="hybridMultilevel"/>
    <w:tmpl w:val="A460718E"/>
    <w:lvl w:ilvl="0" w:tplc="1CB83E1E">
      <w:start w:val="1"/>
      <w:numFmt w:val="bullet"/>
      <w:lvlText w:val=""/>
      <w:lvlJc w:val="left"/>
      <w:pPr>
        <w:ind w:left="360" w:hanging="360"/>
      </w:pPr>
      <w:rPr>
        <w:rFonts w:ascii="Wingdings" w:hAnsi="Wingdings" w:hint="default"/>
        <w:color w:val="C00000"/>
        <w:sz w:val="20"/>
        <w:szCs w:val="18"/>
      </w:rPr>
    </w:lvl>
    <w:lvl w:ilvl="1" w:tplc="72222704">
      <w:numFmt w:val="bullet"/>
      <w:lvlText w:val="•"/>
      <w:lvlJc w:val="left"/>
      <w:pPr>
        <w:ind w:left="1080" w:hanging="360"/>
      </w:pPr>
      <w:rPr>
        <w:rFonts w:ascii="Calibri" w:eastAsiaTheme="minorHAnsi" w:hAnsi="Calibri" w:cs="Calibri" w:hint="default"/>
      </w:rPr>
    </w:lvl>
    <w:lvl w:ilvl="2" w:tplc="20000005">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 w15:restartNumberingAfterBreak="0">
    <w:nsid w:val="04ED37BB"/>
    <w:multiLevelType w:val="hybridMultilevel"/>
    <w:tmpl w:val="6E02A4BC"/>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 w15:restartNumberingAfterBreak="0">
    <w:nsid w:val="15993A3F"/>
    <w:multiLevelType w:val="hybridMultilevel"/>
    <w:tmpl w:val="7F346286"/>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 w15:restartNumberingAfterBreak="0">
    <w:nsid w:val="186F007B"/>
    <w:multiLevelType w:val="hybridMultilevel"/>
    <w:tmpl w:val="38CEB176"/>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4" w15:restartNumberingAfterBreak="0">
    <w:nsid w:val="209702B1"/>
    <w:multiLevelType w:val="hybridMultilevel"/>
    <w:tmpl w:val="C08C5934"/>
    <w:lvl w:ilvl="0" w:tplc="20000001">
      <w:start w:val="1"/>
      <w:numFmt w:val="bullet"/>
      <w:lvlText w:val=""/>
      <w:lvlJc w:val="left"/>
      <w:pPr>
        <w:ind w:left="360" w:hanging="360"/>
      </w:pPr>
      <w:rPr>
        <w:rFonts w:ascii="Symbol" w:hAnsi="Symbol" w:hint="default"/>
      </w:rPr>
    </w:lvl>
    <w:lvl w:ilvl="1" w:tplc="20000003">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5" w15:restartNumberingAfterBreak="0">
    <w:nsid w:val="25B079B4"/>
    <w:multiLevelType w:val="hybridMultilevel"/>
    <w:tmpl w:val="A5F67472"/>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29913FC4"/>
    <w:multiLevelType w:val="hybridMultilevel"/>
    <w:tmpl w:val="B4A3EEB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29E146F0"/>
    <w:multiLevelType w:val="hybridMultilevel"/>
    <w:tmpl w:val="C0645E66"/>
    <w:lvl w:ilvl="0" w:tplc="8C48515C">
      <w:numFmt w:val="bullet"/>
      <w:lvlText w:val="•"/>
      <w:lvlJc w:val="left"/>
      <w:pPr>
        <w:ind w:left="720" w:hanging="720"/>
      </w:pPr>
      <w:rPr>
        <w:rFonts w:ascii="Calibri" w:eastAsiaTheme="minorHAnsi" w:hAnsi="Calibri" w:cs="Calibri"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8" w15:restartNumberingAfterBreak="0">
    <w:nsid w:val="2AA074F9"/>
    <w:multiLevelType w:val="hybridMultilevel"/>
    <w:tmpl w:val="93908F4A"/>
    <w:lvl w:ilvl="0" w:tplc="AD8A3912">
      <w:start w:val="1"/>
      <w:numFmt w:val="lowerLetter"/>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9" w15:restartNumberingAfterBreak="0">
    <w:nsid w:val="2FB32385"/>
    <w:multiLevelType w:val="hybridMultilevel"/>
    <w:tmpl w:val="776A8C06"/>
    <w:lvl w:ilvl="0" w:tplc="20000001">
      <w:start w:val="1"/>
      <w:numFmt w:val="bullet"/>
      <w:lvlText w:val=""/>
      <w:lvlJc w:val="left"/>
      <w:pPr>
        <w:ind w:left="360" w:hanging="360"/>
      </w:pPr>
      <w:rPr>
        <w:rFonts w:ascii="Symbol" w:hAnsi="Symbol" w:hint="default"/>
      </w:rPr>
    </w:lvl>
    <w:lvl w:ilvl="1" w:tplc="72222704">
      <w:numFmt w:val="bullet"/>
      <w:lvlText w:val="•"/>
      <w:lvlJc w:val="left"/>
      <w:pPr>
        <w:ind w:left="1080" w:hanging="360"/>
      </w:pPr>
      <w:rPr>
        <w:rFonts w:ascii="Calibri" w:eastAsiaTheme="minorHAnsi" w:hAnsi="Calibri" w:cs="Calibri" w:hint="default"/>
      </w:rPr>
    </w:lvl>
    <w:lvl w:ilvl="2" w:tplc="20000005">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0" w15:restartNumberingAfterBreak="0">
    <w:nsid w:val="30E635FA"/>
    <w:multiLevelType w:val="hybridMultilevel"/>
    <w:tmpl w:val="09986318"/>
    <w:lvl w:ilvl="0" w:tplc="FE640A84">
      <w:start w:val="1"/>
      <w:numFmt w:val="bullet"/>
      <w:lvlText w:val=""/>
      <w:lvlJc w:val="left"/>
      <w:pPr>
        <w:ind w:left="360" w:hanging="360"/>
      </w:pPr>
      <w:rPr>
        <w:rFonts w:ascii="Symbol" w:hAnsi="Symbol" w:hint="default"/>
        <w:sz w:val="20"/>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34FE28F6"/>
    <w:multiLevelType w:val="hybridMultilevel"/>
    <w:tmpl w:val="601A5C66"/>
    <w:lvl w:ilvl="0" w:tplc="9648F1BC">
      <w:start w:val="1"/>
      <w:numFmt w:val="bullet"/>
      <w:lvlText w:val=""/>
      <w:lvlJc w:val="left"/>
      <w:pPr>
        <w:ind w:left="720" w:hanging="360"/>
      </w:pPr>
      <w:rPr>
        <w:rFonts w:ascii="Symbol" w:hAnsi="Symbol" w:hint="default"/>
        <w:sz w:val="24"/>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3FB41F3D"/>
    <w:multiLevelType w:val="hybridMultilevel"/>
    <w:tmpl w:val="1DB63386"/>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48384B28"/>
    <w:multiLevelType w:val="hybridMultilevel"/>
    <w:tmpl w:val="73389530"/>
    <w:lvl w:ilvl="0" w:tplc="2000000F">
      <w:start w:val="1"/>
      <w:numFmt w:val="decimal"/>
      <w:lvlText w:val="%1."/>
      <w:lvlJc w:val="left"/>
      <w:pPr>
        <w:ind w:left="360" w:hanging="360"/>
      </w:pPr>
    </w:lvl>
    <w:lvl w:ilvl="1" w:tplc="20000019">
      <w:start w:val="1"/>
      <w:numFmt w:val="lowerLetter"/>
      <w:lvlText w:val="%2."/>
      <w:lvlJc w:val="left"/>
      <w:pPr>
        <w:ind w:left="1080" w:hanging="360"/>
      </w:pPr>
    </w:lvl>
    <w:lvl w:ilvl="2" w:tplc="2000001B">
      <w:start w:val="1"/>
      <w:numFmt w:val="lowerRoman"/>
      <w:lvlText w:val="%3."/>
      <w:lvlJc w:val="right"/>
      <w:pPr>
        <w:ind w:left="1800" w:hanging="180"/>
      </w:pPr>
    </w:lvl>
    <w:lvl w:ilvl="3" w:tplc="2000000F">
      <w:start w:val="1"/>
      <w:numFmt w:val="decimal"/>
      <w:lvlText w:val="%4."/>
      <w:lvlJc w:val="left"/>
      <w:pPr>
        <w:ind w:left="2520" w:hanging="360"/>
      </w:pPr>
    </w:lvl>
    <w:lvl w:ilvl="4" w:tplc="20000019">
      <w:start w:val="1"/>
      <w:numFmt w:val="lowerLetter"/>
      <w:lvlText w:val="%5."/>
      <w:lvlJc w:val="left"/>
      <w:pPr>
        <w:ind w:left="3240" w:hanging="360"/>
      </w:pPr>
    </w:lvl>
    <w:lvl w:ilvl="5" w:tplc="2000001B">
      <w:start w:val="1"/>
      <w:numFmt w:val="lowerRoman"/>
      <w:lvlText w:val="%6."/>
      <w:lvlJc w:val="right"/>
      <w:pPr>
        <w:ind w:left="3960" w:hanging="180"/>
      </w:pPr>
    </w:lvl>
    <w:lvl w:ilvl="6" w:tplc="2000000F">
      <w:start w:val="1"/>
      <w:numFmt w:val="decimal"/>
      <w:lvlText w:val="%7."/>
      <w:lvlJc w:val="left"/>
      <w:pPr>
        <w:ind w:left="4680" w:hanging="360"/>
      </w:pPr>
    </w:lvl>
    <w:lvl w:ilvl="7" w:tplc="20000019">
      <w:start w:val="1"/>
      <w:numFmt w:val="lowerLetter"/>
      <w:lvlText w:val="%8."/>
      <w:lvlJc w:val="left"/>
      <w:pPr>
        <w:ind w:left="5400" w:hanging="360"/>
      </w:pPr>
    </w:lvl>
    <w:lvl w:ilvl="8" w:tplc="2000001B">
      <w:start w:val="1"/>
      <w:numFmt w:val="lowerRoman"/>
      <w:lvlText w:val="%9."/>
      <w:lvlJc w:val="right"/>
      <w:pPr>
        <w:ind w:left="6120" w:hanging="180"/>
      </w:pPr>
    </w:lvl>
  </w:abstractNum>
  <w:abstractNum w:abstractNumId="14" w15:restartNumberingAfterBreak="0">
    <w:nsid w:val="53680BFD"/>
    <w:multiLevelType w:val="hybridMultilevel"/>
    <w:tmpl w:val="B86A5F40"/>
    <w:lvl w:ilvl="0" w:tplc="7FC091B0">
      <w:start w:val="1"/>
      <w:numFmt w:val="bullet"/>
      <w:lvlText w:val=""/>
      <w:lvlJc w:val="left"/>
      <w:pPr>
        <w:ind w:left="720" w:hanging="360"/>
      </w:pPr>
      <w:rPr>
        <w:rFonts w:ascii="Symbol" w:hAnsi="Symbol" w:hint="default"/>
        <w:sz w:val="36"/>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559154A6"/>
    <w:multiLevelType w:val="multilevel"/>
    <w:tmpl w:val="7D28FE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98765FF"/>
    <w:multiLevelType w:val="hybridMultilevel"/>
    <w:tmpl w:val="F25C412E"/>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7" w15:restartNumberingAfterBreak="0">
    <w:nsid w:val="5BD7049D"/>
    <w:multiLevelType w:val="hybridMultilevel"/>
    <w:tmpl w:val="56FEB5D8"/>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626746FD"/>
    <w:multiLevelType w:val="hybridMultilevel"/>
    <w:tmpl w:val="B52C0108"/>
    <w:lvl w:ilvl="0" w:tplc="FE640A84">
      <w:start w:val="1"/>
      <w:numFmt w:val="bullet"/>
      <w:lvlText w:val=""/>
      <w:lvlJc w:val="left"/>
      <w:pPr>
        <w:ind w:left="720" w:hanging="360"/>
      </w:pPr>
      <w:rPr>
        <w:rFonts w:ascii="Symbol" w:hAnsi="Symbol" w:hint="default"/>
        <w:sz w:val="20"/>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6B8A69CD"/>
    <w:multiLevelType w:val="hybridMultilevel"/>
    <w:tmpl w:val="DF5201BC"/>
    <w:lvl w:ilvl="0" w:tplc="08090001">
      <w:start w:val="1"/>
      <w:numFmt w:val="bullet"/>
      <w:lvlText w:val=""/>
      <w:lvlJc w:val="left"/>
      <w:pPr>
        <w:ind w:left="11" w:hanging="360"/>
      </w:pPr>
      <w:rPr>
        <w:rFonts w:ascii="Symbol" w:hAnsi="Symbol" w:hint="default"/>
      </w:rPr>
    </w:lvl>
    <w:lvl w:ilvl="1" w:tplc="08090003">
      <w:start w:val="1"/>
      <w:numFmt w:val="bullet"/>
      <w:lvlText w:val="o"/>
      <w:lvlJc w:val="left"/>
      <w:pPr>
        <w:ind w:left="731" w:hanging="360"/>
      </w:pPr>
      <w:rPr>
        <w:rFonts w:ascii="Courier New" w:hAnsi="Courier New" w:cs="Courier New" w:hint="default"/>
      </w:rPr>
    </w:lvl>
    <w:lvl w:ilvl="2" w:tplc="08090005">
      <w:start w:val="1"/>
      <w:numFmt w:val="bullet"/>
      <w:lvlText w:val=""/>
      <w:lvlJc w:val="left"/>
      <w:pPr>
        <w:ind w:left="1451" w:hanging="360"/>
      </w:pPr>
      <w:rPr>
        <w:rFonts w:ascii="Wingdings" w:hAnsi="Wingdings" w:hint="default"/>
      </w:rPr>
    </w:lvl>
    <w:lvl w:ilvl="3" w:tplc="08090001">
      <w:start w:val="1"/>
      <w:numFmt w:val="bullet"/>
      <w:lvlText w:val=""/>
      <w:lvlJc w:val="left"/>
      <w:pPr>
        <w:ind w:left="2171" w:hanging="360"/>
      </w:pPr>
      <w:rPr>
        <w:rFonts w:ascii="Symbol" w:hAnsi="Symbol" w:hint="default"/>
      </w:rPr>
    </w:lvl>
    <w:lvl w:ilvl="4" w:tplc="08090003">
      <w:start w:val="1"/>
      <w:numFmt w:val="bullet"/>
      <w:lvlText w:val="o"/>
      <w:lvlJc w:val="left"/>
      <w:pPr>
        <w:ind w:left="2891" w:hanging="360"/>
      </w:pPr>
      <w:rPr>
        <w:rFonts w:ascii="Courier New" w:hAnsi="Courier New" w:cs="Courier New" w:hint="default"/>
      </w:rPr>
    </w:lvl>
    <w:lvl w:ilvl="5" w:tplc="08090005">
      <w:start w:val="1"/>
      <w:numFmt w:val="bullet"/>
      <w:lvlText w:val=""/>
      <w:lvlJc w:val="left"/>
      <w:pPr>
        <w:ind w:left="3611" w:hanging="360"/>
      </w:pPr>
      <w:rPr>
        <w:rFonts w:ascii="Wingdings" w:hAnsi="Wingdings" w:hint="default"/>
      </w:rPr>
    </w:lvl>
    <w:lvl w:ilvl="6" w:tplc="08090001">
      <w:start w:val="1"/>
      <w:numFmt w:val="bullet"/>
      <w:lvlText w:val=""/>
      <w:lvlJc w:val="left"/>
      <w:pPr>
        <w:ind w:left="4331" w:hanging="360"/>
      </w:pPr>
      <w:rPr>
        <w:rFonts w:ascii="Symbol" w:hAnsi="Symbol" w:hint="default"/>
      </w:rPr>
    </w:lvl>
    <w:lvl w:ilvl="7" w:tplc="08090003">
      <w:start w:val="1"/>
      <w:numFmt w:val="bullet"/>
      <w:lvlText w:val="o"/>
      <w:lvlJc w:val="left"/>
      <w:pPr>
        <w:ind w:left="5051" w:hanging="360"/>
      </w:pPr>
      <w:rPr>
        <w:rFonts w:ascii="Courier New" w:hAnsi="Courier New" w:cs="Courier New" w:hint="default"/>
      </w:rPr>
    </w:lvl>
    <w:lvl w:ilvl="8" w:tplc="08090005">
      <w:start w:val="1"/>
      <w:numFmt w:val="bullet"/>
      <w:lvlText w:val=""/>
      <w:lvlJc w:val="left"/>
      <w:pPr>
        <w:ind w:left="5771" w:hanging="360"/>
      </w:pPr>
      <w:rPr>
        <w:rFonts w:ascii="Wingdings" w:hAnsi="Wingdings" w:hint="default"/>
      </w:rPr>
    </w:lvl>
  </w:abstractNum>
  <w:abstractNum w:abstractNumId="20" w15:restartNumberingAfterBreak="0">
    <w:nsid w:val="79533FF1"/>
    <w:multiLevelType w:val="hybridMultilevel"/>
    <w:tmpl w:val="633A4274"/>
    <w:lvl w:ilvl="0" w:tplc="C20E3F0C">
      <w:start w:val="1"/>
      <w:numFmt w:val="bullet"/>
      <w:lvlText w:val="•"/>
      <w:lvlJc w:val="left"/>
      <w:pPr>
        <w:tabs>
          <w:tab w:val="num" w:pos="720"/>
        </w:tabs>
        <w:ind w:left="720" w:hanging="360"/>
      </w:pPr>
      <w:rPr>
        <w:rFonts w:ascii="Arial" w:hAnsi="Arial" w:hint="default"/>
      </w:rPr>
    </w:lvl>
    <w:lvl w:ilvl="1" w:tplc="28383EE2">
      <w:numFmt w:val="bullet"/>
      <w:lvlText w:val="–"/>
      <w:lvlJc w:val="left"/>
      <w:pPr>
        <w:tabs>
          <w:tab w:val="num" w:pos="1440"/>
        </w:tabs>
        <w:ind w:left="1440" w:hanging="360"/>
      </w:pPr>
      <w:rPr>
        <w:rFonts w:ascii="Arial" w:hAnsi="Arial" w:hint="default"/>
      </w:rPr>
    </w:lvl>
    <w:lvl w:ilvl="2" w:tplc="EE0E369E">
      <w:numFmt w:val="bullet"/>
      <w:lvlText w:val="•"/>
      <w:lvlJc w:val="left"/>
      <w:pPr>
        <w:tabs>
          <w:tab w:val="num" w:pos="2160"/>
        </w:tabs>
        <w:ind w:left="2160" w:hanging="360"/>
      </w:pPr>
      <w:rPr>
        <w:rFonts w:ascii="Arial" w:hAnsi="Arial" w:hint="default"/>
      </w:rPr>
    </w:lvl>
    <w:lvl w:ilvl="3" w:tplc="A448F29C" w:tentative="1">
      <w:start w:val="1"/>
      <w:numFmt w:val="bullet"/>
      <w:lvlText w:val="•"/>
      <w:lvlJc w:val="left"/>
      <w:pPr>
        <w:tabs>
          <w:tab w:val="num" w:pos="2880"/>
        </w:tabs>
        <w:ind w:left="2880" w:hanging="360"/>
      </w:pPr>
      <w:rPr>
        <w:rFonts w:ascii="Arial" w:hAnsi="Arial" w:hint="default"/>
      </w:rPr>
    </w:lvl>
    <w:lvl w:ilvl="4" w:tplc="E90AAB0A" w:tentative="1">
      <w:start w:val="1"/>
      <w:numFmt w:val="bullet"/>
      <w:lvlText w:val="•"/>
      <w:lvlJc w:val="left"/>
      <w:pPr>
        <w:tabs>
          <w:tab w:val="num" w:pos="3600"/>
        </w:tabs>
        <w:ind w:left="3600" w:hanging="360"/>
      </w:pPr>
      <w:rPr>
        <w:rFonts w:ascii="Arial" w:hAnsi="Arial" w:hint="default"/>
      </w:rPr>
    </w:lvl>
    <w:lvl w:ilvl="5" w:tplc="41E8DC86" w:tentative="1">
      <w:start w:val="1"/>
      <w:numFmt w:val="bullet"/>
      <w:lvlText w:val="•"/>
      <w:lvlJc w:val="left"/>
      <w:pPr>
        <w:tabs>
          <w:tab w:val="num" w:pos="4320"/>
        </w:tabs>
        <w:ind w:left="4320" w:hanging="360"/>
      </w:pPr>
      <w:rPr>
        <w:rFonts w:ascii="Arial" w:hAnsi="Arial" w:hint="default"/>
      </w:rPr>
    </w:lvl>
    <w:lvl w:ilvl="6" w:tplc="BCF20BEA" w:tentative="1">
      <w:start w:val="1"/>
      <w:numFmt w:val="bullet"/>
      <w:lvlText w:val="•"/>
      <w:lvlJc w:val="left"/>
      <w:pPr>
        <w:tabs>
          <w:tab w:val="num" w:pos="5040"/>
        </w:tabs>
        <w:ind w:left="5040" w:hanging="360"/>
      </w:pPr>
      <w:rPr>
        <w:rFonts w:ascii="Arial" w:hAnsi="Arial" w:hint="default"/>
      </w:rPr>
    </w:lvl>
    <w:lvl w:ilvl="7" w:tplc="94982A34" w:tentative="1">
      <w:start w:val="1"/>
      <w:numFmt w:val="bullet"/>
      <w:lvlText w:val="•"/>
      <w:lvlJc w:val="left"/>
      <w:pPr>
        <w:tabs>
          <w:tab w:val="num" w:pos="5760"/>
        </w:tabs>
        <w:ind w:left="5760" w:hanging="360"/>
      </w:pPr>
      <w:rPr>
        <w:rFonts w:ascii="Arial" w:hAnsi="Arial" w:hint="default"/>
      </w:rPr>
    </w:lvl>
    <w:lvl w:ilvl="8" w:tplc="6B9CBF92" w:tentative="1">
      <w:start w:val="1"/>
      <w:numFmt w:val="bullet"/>
      <w:lvlText w:val="•"/>
      <w:lvlJc w:val="left"/>
      <w:pPr>
        <w:tabs>
          <w:tab w:val="num" w:pos="6480"/>
        </w:tabs>
        <w:ind w:left="6480" w:hanging="360"/>
      </w:pPr>
      <w:rPr>
        <w:rFonts w:ascii="Arial" w:hAnsi="Arial" w:hint="default"/>
      </w:rPr>
    </w:lvl>
  </w:abstractNum>
  <w:num w:numId="1">
    <w:abstractNumId w:val="4"/>
  </w:num>
  <w:num w:numId="2">
    <w:abstractNumId w:val="9"/>
  </w:num>
  <w:num w:numId="3">
    <w:abstractNumId w:val="2"/>
  </w:num>
  <w:num w:numId="4">
    <w:abstractNumId w:val="14"/>
  </w:num>
  <w:num w:numId="5">
    <w:abstractNumId w:val="11"/>
  </w:num>
  <w:num w:numId="6">
    <w:abstractNumId w:val="18"/>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10"/>
  </w:num>
  <w:num w:numId="10">
    <w:abstractNumId w:val="0"/>
  </w:num>
  <w:num w:numId="11">
    <w:abstractNumId w:val="3"/>
  </w:num>
  <w:num w:numId="12">
    <w:abstractNumId w:val="1"/>
  </w:num>
  <w:num w:numId="13">
    <w:abstractNumId w:val="16"/>
  </w:num>
  <w:num w:numId="14">
    <w:abstractNumId w:val="8"/>
  </w:num>
  <w:num w:numId="15">
    <w:abstractNumId w:val="5"/>
  </w:num>
  <w:num w:numId="16">
    <w:abstractNumId w:val="19"/>
  </w:num>
  <w:num w:numId="17">
    <w:abstractNumId w:val="15"/>
  </w:num>
  <w:num w:numId="18">
    <w:abstractNumId w:val="12"/>
  </w:num>
  <w:num w:numId="19">
    <w:abstractNumId w:val="6"/>
  </w:num>
  <w:num w:numId="20">
    <w:abstractNumId w:val="20"/>
  </w:num>
  <w:num w:numId="21">
    <w:abstractNumId w:val="17"/>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075"/>
    <w:rsid w:val="000077B7"/>
    <w:rsid w:val="00033A19"/>
    <w:rsid w:val="00064B40"/>
    <w:rsid w:val="00073ECA"/>
    <w:rsid w:val="0016713B"/>
    <w:rsid w:val="00184BEB"/>
    <w:rsid w:val="001979B9"/>
    <w:rsid w:val="001D740C"/>
    <w:rsid w:val="002250B1"/>
    <w:rsid w:val="002C7A6A"/>
    <w:rsid w:val="002F68D6"/>
    <w:rsid w:val="003417B4"/>
    <w:rsid w:val="00367111"/>
    <w:rsid w:val="00376848"/>
    <w:rsid w:val="003A288A"/>
    <w:rsid w:val="003C17ED"/>
    <w:rsid w:val="003E654A"/>
    <w:rsid w:val="00421326"/>
    <w:rsid w:val="00481BA0"/>
    <w:rsid w:val="004F378E"/>
    <w:rsid w:val="00556E5C"/>
    <w:rsid w:val="005D0DB3"/>
    <w:rsid w:val="00616854"/>
    <w:rsid w:val="00633482"/>
    <w:rsid w:val="00692E59"/>
    <w:rsid w:val="006F4601"/>
    <w:rsid w:val="0074162D"/>
    <w:rsid w:val="00742BB5"/>
    <w:rsid w:val="00755612"/>
    <w:rsid w:val="00792EA1"/>
    <w:rsid w:val="007D1F6F"/>
    <w:rsid w:val="007F3D85"/>
    <w:rsid w:val="00804B96"/>
    <w:rsid w:val="00812076"/>
    <w:rsid w:val="00841300"/>
    <w:rsid w:val="0085751F"/>
    <w:rsid w:val="00886F14"/>
    <w:rsid w:val="008F73E0"/>
    <w:rsid w:val="00955ABA"/>
    <w:rsid w:val="00975890"/>
    <w:rsid w:val="009F4210"/>
    <w:rsid w:val="00A66D09"/>
    <w:rsid w:val="00A86FA8"/>
    <w:rsid w:val="00AB646F"/>
    <w:rsid w:val="00AE2B10"/>
    <w:rsid w:val="00AE4261"/>
    <w:rsid w:val="00AE6FF2"/>
    <w:rsid w:val="00B161B1"/>
    <w:rsid w:val="00B254BA"/>
    <w:rsid w:val="00B264AC"/>
    <w:rsid w:val="00C26204"/>
    <w:rsid w:val="00C80212"/>
    <w:rsid w:val="00D52075"/>
    <w:rsid w:val="00D5513B"/>
    <w:rsid w:val="00D61166"/>
    <w:rsid w:val="00D73083"/>
    <w:rsid w:val="00DC6ADD"/>
    <w:rsid w:val="00DE592A"/>
    <w:rsid w:val="00E11BC1"/>
    <w:rsid w:val="00E12673"/>
    <w:rsid w:val="00EE60AD"/>
    <w:rsid w:val="00F15EE9"/>
    <w:rsid w:val="00F260D7"/>
    <w:rsid w:val="00F463FD"/>
    <w:rsid w:val="00F56F6D"/>
    <w:rsid w:val="00F77C73"/>
    <w:rsid w:val="00FB0706"/>
    <w:rsid w:val="00FD1D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962FA"/>
  <w15:chartTrackingRefBased/>
  <w15:docId w15:val="{9A03A8B4-DEFD-4766-B258-58969D7D9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2E59"/>
    <w:pPr>
      <w:spacing w:after="120" w:line="252" w:lineRule="auto"/>
    </w:pPr>
    <w:rPr>
      <w:lang w:val="en-GB"/>
    </w:rPr>
  </w:style>
  <w:style w:type="paragraph" w:styleId="Heading1">
    <w:name w:val="heading 1"/>
    <w:basedOn w:val="Normal"/>
    <w:next w:val="Normal"/>
    <w:link w:val="Heading1Char"/>
    <w:uiPriority w:val="9"/>
    <w:qFormat/>
    <w:rsid w:val="00D5207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077B7"/>
    <w:pPr>
      <w:keepNext/>
      <w:keepLines/>
      <w:spacing w:before="120" w:after="80"/>
      <w:outlineLvl w:val="1"/>
    </w:pPr>
    <w:rPr>
      <w:rFonts w:asciiTheme="majorHAnsi" w:eastAsiaTheme="majorEastAsia" w:hAnsiTheme="majorHAnsi" w:cstheme="majorBidi"/>
      <w:b/>
      <w:bCs/>
      <w:color w:val="2F5496" w:themeColor="accent1" w:themeShade="BF"/>
      <w:sz w:val="26"/>
      <w:szCs w:val="26"/>
    </w:rPr>
  </w:style>
  <w:style w:type="paragraph" w:styleId="Heading3">
    <w:name w:val="heading 3"/>
    <w:basedOn w:val="Normal"/>
    <w:next w:val="Normal"/>
    <w:link w:val="Heading3Char"/>
    <w:uiPriority w:val="9"/>
    <w:unhideWhenUsed/>
    <w:qFormat/>
    <w:rsid w:val="0061685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2075"/>
    <w:rPr>
      <w:rFonts w:asciiTheme="majorHAnsi" w:eastAsiaTheme="majorEastAsia" w:hAnsiTheme="majorHAnsi" w:cstheme="majorBidi"/>
      <w:color w:val="2F5496" w:themeColor="accent1" w:themeShade="BF"/>
      <w:sz w:val="32"/>
      <w:szCs w:val="32"/>
      <w:lang w:val="en-GB"/>
    </w:rPr>
  </w:style>
  <w:style w:type="character" w:customStyle="1" w:styleId="Heading2Char">
    <w:name w:val="Heading 2 Char"/>
    <w:basedOn w:val="DefaultParagraphFont"/>
    <w:link w:val="Heading2"/>
    <w:uiPriority w:val="9"/>
    <w:rsid w:val="000077B7"/>
    <w:rPr>
      <w:rFonts w:asciiTheme="majorHAnsi" w:eastAsiaTheme="majorEastAsia" w:hAnsiTheme="majorHAnsi" w:cstheme="majorBidi"/>
      <w:b/>
      <w:bCs/>
      <w:color w:val="2F5496" w:themeColor="accent1" w:themeShade="BF"/>
      <w:sz w:val="26"/>
      <w:szCs w:val="26"/>
      <w:lang w:val="en-GB"/>
    </w:rPr>
  </w:style>
  <w:style w:type="paragraph" w:styleId="ListParagraph">
    <w:name w:val="List Paragraph"/>
    <w:basedOn w:val="Normal"/>
    <w:link w:val="ListParagraphChar"/>
    <w:uiPriority w:val="34"/>
    <w:qFormat/>
    <w:rsid w:val="00D52075"/>
    <w:pPr>
      <w:ind w:left="720"/>
      <w:contextualSpacing/>
    </w:pPr>
  </w:style>
  <w:style w:type="paragraph" w:styleId="Header">
    <w:name w:val="header"/>
    <w:basedOn w:val="Normal"/>
    <w:link w:val="HeaderChar"/>
    <w:uiPriority w:val="99"/>
    <w:unhideWhenUsed/>
    <w:rsid w:val="00AE6F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6FF2"/>
    <w:rPr>
      <w:lang w:val="en-GB"/>
    </w:rPr>
  </w:style>
  <w:style w:type="paragraph" w:styleId="Footer">
    <w:name w:val="footer"/>
    <w:basedOn w:val="Normal"/>
    <w:link w:val="FooterChar"/>
    <w:uiPriority w:val="99"/>
    <w:unhideWhenUsed/>
    <w:rsid w:val="00AE6F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6FF2"/>
    <w:rPr>
      <w:lang w:val="en-GB"/>
    </w:rPr>
  </w:style>
  <w:style w:type="table" w:styleId="TableGrid">
    <w:name w:val="Table Grid"/>
    <w:basedOn w:val="TableNormal"/>
    <w:uiPriority w:val="39"/>
    <w:rsid w:val="0016713B"/>
    <w:pPr>
      <w:spacing w:after="0" w:line="240" w:lineRule="auto"/>
    </w:pPr>
    <w:rPr>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6713B"/>
    <w:rPr>
      <w:color w:val="0563C1" w:themeColor="hyperlink"/>
      <w:u w:val="single"/>
    </w:rPr>
  </w:style>
  <w:style w:type="character" w:styleId="UnresolvedMention">
    <w:name w:val="Unresolved Mention"/>
    <w:basedOn w:val="DefaultParagraphFont"/>
    <w:uiPriority w:val="99"/>
    <w:semiHidden/>
    <w:unhideWhenUsed/>
    <w:rsid w:val="0016713B"/>
    <w:rPr>
      <w:color w:val="605E5C"/>
      <w:shd w:val="clear" w:color="auto" w:fill="E1DFDD"/>
    </w:rPr>
  </w:style>
  <w:style w:type="character" w:styleId="FollowedHyperlink">
    <w:name w:val="FollowedHyperlink"/>
    <w:basedOn w:val="DefaultParagraphFont"/>
    <w:uiPriority w:val="99"/>
    <w:semiHidden/>
    <w:unhideWhenUsed/>
    <w:rsid w:val="0016713B"/>
    <w:rPr>
      <w:color w:val="954F72" w:themeColor="followedHyperlink"/>
      <w:u w:val="single"/>
    </w:rPr>
  </w:style>
  <w:style w:type="character" w:customStyle="1" w:styleId="Heading3Char">
    <w:name w:val="Heading 3 Char"/>
    <w:basedOn w:val="DefaultParagraphFont"/>
    <w:link w:val="Heading3"/>
    <w:uiPriority w:val="9"/>
    <w:rsid w:val="00616854"/>
    <w:rPr>
      <w:rFonts w:asciiTheme="majorHAnsi" w:eastAsiaTheme="majorEastAsia" w:hAnsiTheme="majorHAnsi" w:cstheme="majorBidi"/>
      <w:color w:val="1F3763" w:themeColor="accent1" w:themeShade="7F"/>
      <w:sz w:val="24"/>
      <w:szCs w:val="24"/>
      <w:lang w:val="en-GB"/>
    </w:rPr>
  </w:style>
  <w:style w:type="paragraph" w:styleId="Title">
    <w:name w:val="Title"/>
    <w:basedOn w:val="Normal"/>
    <w:next w:val="Normal"/>
    <w:link w:val="TitleChar"/>
    <w:uiPriority w:val="10"/>
    <w:qFormat/>
    <w:rsid w:val="000077B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77B7"/>
    <w:rPr>
      <w:rFonts w:asciiTheme="majorHAnsi" w:eastAsiaTheme="majorEastAsia" w:hAnsiTheme="majorHAnsi" w:cstheme="majorBidi"/>
      <w:spacing w:val="-10"/>
      <w:kern w:val="28"/>
      <w:sz w:val="56"/>
      <w:szCs w:val="56"/>
      <w:lang w:val="en-GB"/>
    </w:rPr>
  </w:style>
  <w:style w:type="character" w:customStyle="1" w:styleId="ListParagraphChar">
    <w:name w:val="List Paragraph Char"/>
    <w:basedOn w:val="DefaultParagraphFont"/>
    <w:link w:val="ListParagraph"/>
    <w:uiPriority w:val="34"/>
    <w:locked/>
    <w:rsid w:val="00FB0706"/>
    <w:rPr>
      <w:lang w:val="en-GB"/>
    </w:rPr>
  </w:style>
  <w:style w:type="character" w:customStyle="1" w:styleId="apple-converted-space">
    <w:name w:val="apple-converted-space"/>
    <w:basedOn w:val="DefaultParagraphFont"/>
    <w:rsid w:val="00A86FA8"/>
  </w:style>
  <w:style w:type="paragraph" w:customStyle="1" w:styleId="Default">
    <w:name w:val="Default"/>
    <w:rsid w:val="003E654A"/>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886F14"/>
    <w:rPr>
      <w:sz w:val="16"/>
      <w:szCs w:val="16"/>
    </w:rPr>
  </w:style>
  <w:style w:type="paragraph" w:styleId="CommentText">
    <w:name w:val="annotation text"/>
    <w:basedOn w:val="Normal"/>
    <w:link w:val="CommentTextChar"/>
    <w:uiPriority w:val="99"/>
    <w:unhideWhenUsed/>
    <w:rsid w:val="00886F14"/>
    <w:pPr>
      <w:spacing w:line="240" w:lineRule="auto"/>
    </w:pPr>
    <w:rPr>
      <w:sz w:val="20"/>
      <w:szCs w:val="20"/>
    </w:rPr>
  </w:style>
  <w:style w:type="character" w:customStyle="1" w:styleId="CommentTextChar">
    <w:name w:val="Comment Text Char"/>
    <w:basedOn w:val="DefaultParagraphFont"/>
    <w:link w:val="CommentText"/>
    <w:uiPriority w:val="99"/>
    <w:rsid w:val="00886F14"/>
    <w:rPr>
      <w:sz w:val="20"/>
      <w:szCs w:val="20"/>
      <w:lang w:val="en-GB"/>
    </w:rPr>
  </w:style>
  <w:style w:type="paragraph" w:styleId="CommentSubject">
    <w:name w:val="annotation subject"/>
    <w:basedOn w:val="CommentText"/>
    <w:next w:val="CommentText"/>
    <w:link w:val="CommentSubjectChar"/>
    <w:uiPriority w:val="99"/>
    <w:semiHidden/>
    <w:unhideWhenUsed/>
    <w:rsid w:val="00886F14"/>
    <w:rPr>
      <w:b/>
      <w:bCs/>
    </w:rPr>
  </w:style>
  <w:style w:type="character" w:customStyle="1" w:styleId="CommentSubjectChar">
    <w:name w:val="Comment Subject Char"/>
    <w:basedOn w:val="CommentTextChar"/>
    <w:link w:val="CommentSubject"/>
    <w:uiPriority w:val="99"/>
    <w:semiHidden/>
    <w:rsid w:val="00886F14"/>
    <w:rPr>
      <w:b/>
      <w:bCs/>
      <w:sz w:val="20"/>
      <w:szCs w:val="20"/>
      <w:lang w:val="en-GB"/>
    </w:rPr>
  </w:style>
  <w:style w:type="paragraph" w:styleId="BalloonText">
    <w:name w:val="Balloon Text"/>
    <w:basedOn w:val="Normal"/>
    <w:link w:val="BalloonTextChar"/>
    <w:uiPriority w:val="99"/>
    <w:semiHidden/>
    <w:unhideWhenUsed/>
    <w:rsid w:val="00886F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6F14"/>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9584944">
      <w:bodyDiv w:val="1"/>
      <w:marLeft w:val="0"/>
      <w:marRight w:val="0"/>
      <w:marTop w:val="0"/>
      <w:marBottom w:val="0"/>
      <w:divBdr>
        <w:top w:val="none" w:sz="0" w:space="0" w:color="auto"/>
        <w:left w:val="none" w:sz="0" w:space="0" w:color="auto"/>
        <w:bottom w:val="none" w:sz="0" w:space="0" w:color="auto"/>
        <w:right w:val="none" w:sz="0" w:space="0" w:color="auto"/>
      </w:divBdr>
    </w:div>
    <w:div w:id="977997836">
      <w:bodyDiv w:val="1"/>
      <w:marLeft w:val="0"/>
      <w:marRight w:val="0"/>
      <w:marTop w:val="0"/>
      <w:marBottom w:val="0"/>
      <w:divBdr>
        <w:top w:val="none" w:sz="0" w:space="0" w:color="auto"/>
        <w:left w:val="none" w:sz="0" w:space="0" w:color="auto"/>
        <w:bottom w:val="none" w:sz="0" w:space="0" w:color="auto"/>
        <w:right w:val="none" w:sz="0" w:space="0" w:color="auto"/>
      </w:divBdr>
      <w:divsChild>
        <w:div w:id="957224494">
          <w:marLeft w:val="187"/>
          <w:marRight w:val="0"/>
          <w:marTop w:val="0"/>
          <w:marBottom w:val="0"/>
          <w:divBdr>
            <w:top w:val="none" w:sz="0" w:space="0" w:color="auto"/>
            <w:left w:val="none" w:sz="0" w:space="0" w:color="auto"/>
            <w:bottom w:val="none" w:sz="0" w:space="0" w:color="auto"/>
            <w:right w:val="none" w:sz="0" w:space="0" w:color="auto"/>
          </w:divBdr>
        </w:div>
        <w:div w:id="729497594">
          <w:marLeft w:val="720"/>
          <w:marRight w:val="0"/>
          <w:marTop w:val="0"/>
          <w:marBottom w:val="0"/>
          <w:divBdr>
            <w:top w:val="none" w:sz="0" w:space="0" w:color="auto"/>
            <w:left w:val="none" w:sz="0" w:space="0" w:color="auto"/>
            <w:bottom w:val="none" w:sz="0" w:space="0" w:color="auto"/>
            <w:right w:val="none" w:sz="0" w:space="0" w:color="auto"/>
          </w:divBdr>
        </w:div>
        <w:div w:id="306784650">
          <w:marLeft w:val="720"/>
          <w:marRight w:val="0"/>
          <w:marTop w:val="0"/>
          <w:marBottom w:val="0"/>
          <w:divBdr>
            <w:top w:val="none" w:sz="0" w:space="0" w:color="auto"/>
            <w:left w:val="none" w:sz="0" w:space="0" w:color="auto"/>
            <w:bottom w:val="none" w:sz="0" w:space="0" w:color="auto"/>
            <w:right w:val="none" w:sz="0" w:space="0" w:color="auto"/>
          </w:divBdr>
        </w:div>
        <w:div w:id="384790928">
          <w:marLeft w:val="1080"/>
          <w:marRight w:val="0"/>
          <w:marTop w:val="0"/>
          <w:marBottom w:val="0"/>
          <w:divBdr>
            <w:top w:val="none" w:sz="0" w:space="0" w:color="auto"/>
            <w:left w:val="none" w:sz="0" w:space="0" w:color="auto"/>
            <w:bottom w:val="none" w:sz="0" w:space="0" w:color="auto"/>
            <w:right w:val="none" w:sz="0" w:space="0" w:color="auto"/>
          </w:divBdr>
        </w:div>
        <w:div w:id="1736514239">
          <w:marLeft w:val="1080"/>
          <w:marRight w:val="0"/>
          <w:marTop w:val="0"/>
          <w:marBottom w:val="0"/>
          <w:divBdr>
            <w:top w:val="none" w:sz="0" w:space="0" w:color="auto"/>
            <w:left w:val="none" w:sz="0" w:space="0" w:color="auto"/>
            <w:bottom w:val="none" w:sz="0" w:space="0" w:color="auto"/>
            <w:right w:val="none" w:sz="0" w:space="0" w:color="auto"/>
          </w:divBdr>
        </w:div>
        <w:div w:id="2042246244">
          <w:marLeft w:val="1080"/>
          <w:marRight w:val="0"/>
          <w:marTop w:val="0"/>
          <w:marBottom w:val="0"/>
          <w:divBdr>
            <w:top w:val="none" w:sz="0" w:space="0" w:color="auto"/>
            <w:left w:val="none" w:sz="0" w:space="0" w:color="auto"/>
            <w:bottom w:val="none" w:sz="0" w:space="0" w:color="auto"/>
            <w:right w:val="none" w:sz="0" w:space="0" w:color="auto"/>
          </w:divBdr>
        </w:div>
        <w:div w:id="1476027918">
          <w:marLeft w:val="1080"/>
          <w:marRight w:val="0"/>
          <w:marTop w:val="0"/>
          <w:marBottom w:val="0"/>
          <w:divBdr>
            <w:top w:val="none" w:sz="0" w:space="0" w:color="auto"/>
            <w:left w:val="none" w:sz="0" w:space="0" w:color="auto"/>
            <w:bottom w:val="none" w:sz="0" w:space="0" w:color="auto"/>
            <w:right w:val="none" w:sz="0" w:space="0" w:color="auto"/>
          </w:divBdr>
        </w:div>
        <w:div w:id="167988000">
          <w:marLeft w:val="1080"/>
          <w:marRight w:val="0"/>
          <w:marTop w:val="0"/>
          <w:marBottom w:val="0"/>
          <w:divBdr>
            <w:top w:val="none" w:sz="0" w:space="0" w:color="auto"/>
            <w:left w:val="none" w:sz="0" w:space="0" w:color="auto"/>
            <w:bottom w:val="none" w:sz="0" w:space="0" w:color="auto"/>
            <w:right w:val="none" w:sz="0" w:space="0" w:color="auto"/>
          </w:divBdr>
        </w:div>
        <w:div w:id="567763271">
          <w:marLeft w:val="720"/>
          <w:marRight w:val="0"/>
          <w:marTop w:val="0"/>
          <w:marBottom w:val="0"/>
          <w:divBdr>
            <w:top w:val="none" w:sz="0" w:space="0" w:color="auto"/>
            <w:left w:val="none" w:sz="0" w:space="0" w:color="auto"/>
            <w:bottom w:val="none" w:sz="0" w:space="0" w:color="auto"/>
            <w:right w:val="none" w:sz="0" w:space="0" w:color="auto"/>
          </w:divBdr>
        </w:div>
        <w:div w:id="1327318986">
          <w:marLeft w:val="720"/>
          <w:marRight w:val="0"/>
          <w:marTop w:val="0"/>
          <w:marBottom w:val="0"/>
          <w:divBdr>
            <w:top w:val="none" w:sz="0" w:space="0" w:color="auto"/>
            <w:left w:val="none" w:sz="0" w:space="0" w:color="auto"/>
            <w:bottom w:val="none" w:sz="0" w:space="0" w:color="auto"/>
            <w:right w:val="none" w:sz="0" w:space="0" w:color="auto"/>
          </w:divBdr>
        </w:div>
      </w:divsChild>
    </w:div>
    <w:div w:id="1380201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EN/TXT/?uri=CELEX%3A32017R0746" TargetMode="External"/><Relationship Id="rId13" Type="http://schemas.openxmlformats.org/officeDocument/2006/relationships/chart" Target="charts/chart5.xm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eur-lex.europa.eu/legal-content/EN/TXT/?uri=CELEX%3A32017R0745" TargetMode="External"/><Relationship Id="rId12" Type="http://schemas.openxmlformats.org/officeDocument/2006/relationships/chart" Target="charts/chart4.xml"/><Relationship Id="rId17" Type="http://schemas.openxmlformats.org/officeDocument/2006/relationships/hyperlink" Target="https://www.fli.de/fileadmin/FLI/Service/Zulassungsstelle/englisch/02_e_Zul_Mittel.pdf" TargetMode="External"/><Relationship Id="rId2" Type="http://schemas.openxmlformats.org/officeDocument/2006/relationships/styles" Target="styles.xml"/><Relationship Id="rId16" Type="http://schemas.openxmlformats.org/officeDocument/2006/relationships/hyperlink" Target="https://www.boe.es/diario_boe/txt.php?id=BOE-A-2020-11424"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3.xml"/><Relationship Id="rId5" Type="http://schemas.openxmlformats.org/officeDocument/2006/relationships/footnotes" Target="footnotes.xml"/><Relationship Id="rId15" Type="http://schemas.openxmlformats.org/officeDocument/2006/relationships/chart" Target="charts/chart7.xml"/><Relationship Id="rId10" Type="http://schemas.openxmlformats.org/officeDocument/2006/relationships/chart" Target="charts/chart2.xm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chart" Target="charts/chart6.xml"/></Relationships>
</file>

<file path=word/charts/_rels/chart1.xml.rels><?xml version="1.0" encoding="UTF-8" standalone="yes"?>
<Relationships xmlns="http://schemas.openxmlformats.org/package/2006/relationships"><Relationship Id="rId3" Type="http://schemas.openxmlformats.org/officeDocument/2006/relationships/oleObject" Target="file:///\\10.0.0.4\Company\AnimalhealthEurope\TRC\PROJECTS\Diagnostics\CNA%20survey%202021\CNA%20MD-IVD%20survey%20March%20202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10.0.0.4\Company\AnimalhealthEurope\TRC\PROJECTS\Diagnostics\CNA%20survey%202021\CNA%20MD-IVD%20survey%20March%202021.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10.0.0.4\Company\AnimalhealthEurope\TRC\PROJECTS\Diagnostics\CNA%20survey%202021\CNA%20MD-IVD%20survey%20March%202021.xlsx" TargetMode="External"/><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Q1</a:t>
            </a:r>
          </a:p>
        </c:rich>
      </c:tx>
      <c:layout>
        <c:manualLayout>
          <c:xMode val="edge"/>
          <c:yMode val="edge"/>
          <c:x val="1.0395669291338549E-2"/>
          <c:y val="2.7777777777777776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BE"/>
        </a:p>
      </c:txPr>
    </c:title>
    <c:autoTitleDeleted val="0"/>
    <c:plotArea>
      <c:layout>
        <c:manualLayout>
          <c:layoutTarget val="inner"/>
          <c:xMode val="edge"/>
          <c:yMode val="edge"/>
          <c:x val="0.22078499562554682"/>
          <c:y val="4.2083333333333355E-2"/>
          <c:w val="0.56120800524934378"/>
          <c:h val="0.93534667541557293"/>
        </c:manualLayout>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9ADB-43AF-9107-6A81AF3AA7A7}"/>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9ADB-43AF-9107-6A81AF3AA7A7}"/>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9ADB-43AF-9107-6A81AF3AA7A7}"/>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BE"/>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Sheet1!$C$2:$E$2</c:f>
              <c:strCache>
                <c:ptCount val="3"/>
                <c:pt idx="0">
                  <c:v>YES</c:v>
                </c:pt>
                <c:pt idx="1">
                  <c:v>NO</c:v>
                </c:pt>
                <c:pt idx="2">
                  <c:v>OTHER</c:v>
                </c:pt>
              </c:strCache>
            </c:strRef>
          </c:cat>
          <c:val>
            <c:numRef>
              <c:f>Sheet1!$C$3:$E$3</c:f>
              <c:numCache>
                <c:formatCode>General</c:formatCode>
                <c:ptCount val="3"/>
                <c:pt idx="0">
                  <c:v>5</c:v>
                </c:pt>
                <c:pt idx="1">
                  <c:v>5</c:v>
                </c:pt>
                <c:pt idx="2">
                  <c:v>0</c:v>
                </c:pt>
              </c:numCache>
            </c:numRef>
          </c:val>
          <c:extLst>
            <c:ext xmlns:c16="http://schemas.microsoft.com/office/drawing/2014/chart" uri="{C3380CC4-5D6E-409C-BE32-E72D297353CC}">
              <c16:uniqueId val="{00000006-9ADB-43AF-9107-6A81AF3AA7A7}"/>
            </c:ext>
          </c:extLst>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0.75163396242136404"/>
          <c:y val="3.2985564304461902E-2"/>
          <c:w val="0.24836603757863601"/>
          <c:h val="0.96701403628894211"/>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BE"/>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BE"/>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Q2</a:t>
            </a:r>
          </a:p>
        </c:rich>
      </c:tx>
      <c:layout>
        <c:manualLayout>
          <c:xMode val="edge"/>
          <c:yMode val="edge"/>
          <c:x val="0"/>
          <c:y val="1.8518185226846645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BE"/>
        </a:p>
      </c:txPr>
    </c:title>
    <c:autoTitleDeleted val="0"/>
    <c:plotArea>
      <c:layout>
        <c:manualLayout>
          <c:layoutTarget val="inner"/>
          <c:xMode val="edge"/>
          <c:yMode val="edge"/>
          <c:x val="0.19856277340332462"/>
          <c:y val="5.0462962962963126E-3"/>
          <c:w val="0.58898578302712146"/>
          <c:h val="0.98164297171186921"/>
        </c:manualLayout>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6CEC-489C-9E10-EA1E98CD246C}"/>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6CEC-489C-9E10-EA1E98CD246C}"/>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6CEC-489C-9E10-EA1E98CD246C}"/>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BE"/>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Sheet1!$C$2:$E$2</c:f>
              <c:strCache>
                <c:ptCount val="3"/>
                <c:pt idx="0">
                  <c:v>YES</c:v>
                </c:pt>
                <c:pt idx="1">
                  <c:v>NO</c:v>
                </c:pt>
                <c:pt idx="2">
                  <c:v>OTHER</c:v>
                </c:pt>
              </c:strCache>
            </c:strRef>
          </c:cat>
          <c:val>
            <c:numRef>
              <c:f>Sheet1!$C$5:$E$5</c:f>
              <c:numCache>
                <c:formatCode>General</c:formatCode>
                <c:ptCount val="3"/>
                <c:pt idx="0">
                  <c:v>1</c:v>
                </c:pt>
                <c:pt idx="1">
                  <c:v>8</c:v>
                </c:pt>
                <c:pt idx="2">
                  <c:v>1</c:v>
                </c:pt>
              </c:numCache>
            </c:numRef>
          </c:val>
          <c:extLst>
            <c:ext xmlns:c16="http://schemas.microsoft.com/office/drawing/2014/chart" uri="{C3380CC4-5D6E-409C-BE32-E72D297353CC}">
              <c16:uniqueId val="{00000006-6CEC-489C-9E10-EA1E98CD246C}"/>
            </c:ext>
          </c:extLst>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0.76528225638461866"/>
          <c:y val="0"/>
          <c:w val="0.2271307753197517"/>
          <c:h val="1"/>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BE"/>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BE"/>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Q3</a:t>
            </a:r>
          </a:p>
        </c:rich>
      </c:tx>
      <c:layout>
        <c:manualLayout>
          <c:xMode val="edge"/>
          <c:yMode val="edge"/>
          <c:x val="3.914041994750656E-3"/>
          <c:y val="5.1301695396183573E-3"/>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BE"/>
        </a:p>
      </c:txPr>
    </c:title>
    <c:autoTitleDeleted val="0"/>
    <c:plotArea>
      <c:layout>
        <c:manualLayout>
          <c:layoutTarget val="inner"/>
          <c:xMode val="edge"/>
          <c:yMode val="edge"/>
          <c:x val="0.20134055118110239"/>
          <c:y val="9.675925925925942E-3"/>
          <c:w val="0.58898578302712146"/>
          <c:h val="0.98164297171186921"/>
        </c:manualLayout>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AAF1-4436-8C98-434965E6577E}"/>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AAF1-4436-8C98-434965E6577E}"/>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AAF1-4436-8C98-434965E6577E}"/>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BE"/>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Sheet1!$C$2:$E$2</c:f>
              <c:strCache>
                <c:ptCount val="3"/>
                <c:pt idx="0">
                  <c:v>YES</c:v>
                </c:pt>
                <c:pt idx="1">
                  <c:v>NO</c:v>
                </c:pt>
                <c:pt idx="2">
                  <c:v>OTHER</c:v>
                </c:pt>
              </c:strCache>
            </c:strRef>
          </c:cat>
          <c:val>
            <c:numRef>
              <c:f>Sheet1!$C$7:$E$7</c:f>
              <c:numCache>
                <c:formatCode>General</c:formatCode>
                <c:ptCount val="3"/>
                <c:pt idx="0">
                  <c:v>1</c:v>
                </c:pt>
                <c:pt idx="1">
                  <c:v>8</c:v>
                </c:pt>
                <c:pt idx="2">
                  <c:v>1</c:v>
                </c:pt>
              </c:numCache>
            </c:numRef>
          </c:val>
          <c:extLst>
            <c:ext xmlns:c16="http://schemas.microsoft.com/office/drawing/2014/chart" uri="{C3380CC4-5D6E-409C-BE32-E72D297353CC}">
              <c16:uniqueId val="{00000006-AAF1-4436-8C98-434965E6577E}"/>
            </c:ext>
          </c:extLst>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0.78462484004446065"/>
          <c:y val="1.4467045785943381E-2"/>
          <c:w val="0.20911069390347559"/>
          <c:h val="0.9855333143598014"/>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BE"/>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BE"/>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Q4</a:t>
            </a:r>
          </a:p>
        </c:rich>
      </c:tx>
      <c:layout>
        <c:manualLayout>
          <c:xMode val="edge"/>
          <c:yMode val="edge"/>
          <c:x val="1.0395669291338549E-2"/>
          <c:y val="1.3888888888888888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BE"/>
        </a:p>
      </c:txPr>
    </c:title>
    <c:autoTitleDeleted val="0"/>
    <c:plotArea>
      <c:layout>
        <c:manualLayout>
          <c:layoutTarget val="inner"/>
          <c:xMode val="edge"/>
          <c:yMode val="edge"/>
          <c:x val="0.20689610673665793"/>
          <c:y val="1.8935185185185201E-2"/>
          <c:w val="0.58065244969378826"/>
          <c:h val="0.96775408282298048"/>
        </c:manualLayout>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9363-47F5-BB5F-1583E639783B}"/>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9363-47F5-BB5F-1583E639783B}"/>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9363-47F5-BB5F-1583E639783B}"/>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BE"/>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Sheet1!$C$2:$E$2</c:f>
              <c:strCache>
                <c:ptCount val="3"/>
                <c:pt idx="0">
                  <c:v>YES</c:v>
                </c:pt>
                <c:pt idx="1">
                  <c:v>NO</c:v>
                </c:pt>
                <c:pt idx="2">
                  <c:v>OTHER</c:v>
                </c:pt>
              </c:strCache>
            </c:strRef>
          </c:cat>
          <c:val>
            <c:numRef>
              <c:f>Sheet1!$C$9:$E$9</c:f>
              <c:numCache>
                <c:formatCode>General</c:formatCode>
                <c:ptCount val="3"/>
                <c:pt idx="0">
                  <c:v>4</c:v>
                </c:pt>
                <c:pt idx="1">
                  <c:v>6</c:v>
                </c:pt>
                <c:pt idx="2">
                  <c:v>0</c:v>
                </c:pt>
              </c:numCache>
            </c:numRef>
          </c:val>
          <c:extLst>
            <c:ext xmlns:c16="http://schemas.microsoft.com/office/drawing/2014/chart" uri="{C3380CC4-5D6E-409C-BE32-E72D297353CC}">
              <c16:uniqueId val="{00000006-9363-47F5-BB5F-1583E639783B}"/>
            </c:ext>
          </c:extLst>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0.77365490152891725"/>
          <c:y val="2.8355934674832269E-2"/>
          <c:w val="0.22563625351026925"/>
          <c:h val="0.9559476188471095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BE"/>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BE"/>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Q5</a:t>
            </a:r>
          </a:p>
        </c:rich>
      </c:tx>
      <c:layout>
        <c:manualLayout>
          <c:xMode val="edge"/>
          <c:yMode val="edge"/>
          <c:x val="2.0623359580052162E-3"/>
          <c:y val="0"/>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BE"/>
        </a:p>
      </c:txPr>
    </c:title>
    <c:autoTitleDeleted val="0"/>
    <c:plotArea>
      <c:layout>
        <c:manualLayout>
          <c:layoutTarget val="inner"/>
          <c:xMode val="edge"/>
          <c:yMode val="edge"/>
          <c:x val="0.20134055118110239"/>
          <c:y val="9.675925925925942E-3"/>
          <c:w val="0.59176356080489934"/>
          <c:h val="0.98627260134149886"/>
        </c:manualLayout>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2614-4D5D-8D4D-4F332B151DA8}"/>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2614-4D5D-8D4D-4F332B151DA8}"/>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2614-4D5D-8D4D-4F332B151DA8}"/>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BE"/>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Sheet1!$C$2:$E$2</c:f>
              <c:strCache>
                <c:ptCount val="3"/>
                <c:pt idx="0">
                  <c:v>YES</c:v>
                </c:pt>
                <c:pt idx="1">
                  <c:v>NO</c:v>
                </c:pt>
                <c:pt idx="2">
                  <c:v>OTHER</c:v>
                </c:pt>
              </c:strCache>
            </c:strRef>
          </c:cat>
          <c:val>
            <c:numRef>
              <c:f>Sheet1!$C$11:$E$11</c:f>
              <c:numCache>
                <c:formatCode>General</c:formatCode>
                <c:ptCount val="3"/>
                <c:pt idx="0">
                  <c:v>4</c:v>
                </c:pt>
                <c:pt idx="1">
                  <c:v>6</c:v>
                </c:pt>
                <c:pt idx="2">
                  <c:v>0</c:v>
                </c:pt>
              </c:numCache>
            </c:numRef>
          </c:val>
          <c:extLst>
            <c:ext xmlns:c16="http://schemas.microsoft.com/office/drawing/2014/chart" uri="{C3380CC4-5D6E-409C-BE32-E72D297353CC}">
              <c16:uniqueId val="{00000006-2614-4D5D-8D4D-4F332B151DA8}"/>
            </c:ext>
          </c:extLst>
        </c:ser>
        <c:ser>
          <c:idx val="1"/>
          <c:order val="1"/>
          <c:dPt>
            <c:idx val="0"/>
            <c:bubble3D val="0"/>
            <c:spPr>
              <a:solidFill>
                <a:schemeClr val="accent1"/>
              </a:solidFill>
              <a:ln w="19050">
                <a:solidFill>
                  <a:schemeClr val="lt1"/>
                </a:solidFill>
              </a:ln>
              <a:effectLst/>
            </c:spPr>
            <c:extLst>
              <c:ext xmlns:c16="http://schemas.microsoft.com/office/drawing/2014/chart" uri="{C3380CC4-5D6E-409C-BE32-E72D297353CC}">
                <c16:uniqueId val="{00000008-2614-4D5D-8D4D-4F332B151DA8}"/>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A-2614-4D5D-8D4D-4F332B151DA8}"/>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C-2614-4D5D-8D4D-4F332B151DA8}"/>
              </c:ext>
            </c:extLst>
          </c:dPt>
          <c:cat>
            <c:strRef>
              <c:f>Sheet1!$C$2:$E$2</c:f>
              <c:strCache>
                <c:ptCount val="3"/>
                <c:pt idx="0">
                  <c:v>YES</c:v>
                </c:pt>
                <c:pt idx="1">
                  <c:v>NO</c:v>
                </c:pt>
                <c:pt idx="2">
                  <c:v>OTHER</c:v>
                </c:pt>
              </c:strCache>
            </c:strRef>
          </c:cat>
          <c:val>
            <c:numRef>
              <c:f>Sheet1!$C$12:$E$12</c:f>
              <c:numCache>
                <c:formatCode>General</c:formatCode>
                <c:ptCount val="3"/>
              </c:numCache>
            </c:numRef>
          </c:val>
          <c:extLst>
            <c:ext xmlns:c16="http://schemas.microsoft.com/office/drawing/2014/chart" uri="{C3380CC4-5D6E-409C-BE32-E72D297353CC}">
              <c16:uniqueId val="{0000000D-2614-4D5D-8D4D-4F332B151DA8}"/>
            </c:ext>
          </c:extLst>
        </c:ser>
        <c:ser>
          <c:idx val="2"/>
          <c:order val="2"/>
          <c:dPt>
            <c:idx val="0"/>
            <c:bubble3D val="0"/>
            <c:spPr>
              <a:solidFill>
                <a:schemeClr val="accent1"/>
              </a:solidFill>
              <a:ln w="19050">
                <a:solidFill>
                  <a:schemeClr val="lt1"/>
                </a:solidFill>
              </a:ln>
              <a:effectLst/>
            </c:spPr>
            <c:extLst>
              <c:ext xmlns:c16="http://schemas.microsoft.com/office/drawing/2014/chart" uri="{C3380CC4-5D6E-409C-BE32-E72D297353CC}">
                <c16:uniqueId val="{0000000F-2614-4D5D-8D4D-4F332B151DA8}"/>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11-2614-4D5D-8D4D-4F332B151DA8}"/>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13-2614-4D5D-8D4D-4F332B151DA8}"/>
              </c:ext>
            </c:extLst>
          </c:dPt>
          <c:cat>
            <c:strRef>
              <c:f>Sheet1!$C$2:$E$2</c:f>
              <c:strCache>
                <c:ptCount val="3"/>
                <c:pt idx="0">
                  <c:v>YES</c:v>
                </c:pt>
                <c:pt idx="1">
                  <c:v>NO</c:v>
                </c:pt>
                <c:pt idx="2">
                  <c:v>OTHER</c:v>
                </c:pt>
              </c:strCache>
            </c:strRef>
          </c:cat>
          <c:val>
            <c:numRef>
              <c:f>Sheet1!$C$13:$E$13</c:f>
              <c:numCache>
                <c:formatCode>General</c:formatCode>
                <c:ptCount val="3"/>
                <c:pt idx="0">
                  <c:v>4</c:v>
                </c:pt>
                <c:pt idx="1">
                  <c:v>3</c:v>
                </c:pt>
                <c:pt idx="2">
                  <c:v>3</c:v>
                </c:pt>
              </c:numCache>
            </c:numRef>
          </c:val>
          <c:extLst>
            <c:ext xmlns:c16="http://schemas.microsoft.com/office/drawing/2014/chart" uri="{C3380CC4-5D6E-409C-BE32-E72D297353CC}">
              <c16:uniqueId val="{00000014-2614-4D5D-8D4D-4F332B151DA8}"/>
            </c:ext>
          </c:extLst>
        </c:ser>
        <c:ser>
          <c:idx val="3"/>
          <c:order val="3"/>
          <c:dPt>
            <c:idx val="0"/>
            <c:bubble3D val="0"/>
            <c:spPr>
              <a:solidFill>
                <a:schemeClr val="accent1"/>
              </a:solidFill>
              <a:ln w="19050">
                <a:solidFill>
                  <a:schemeClr val="lt1"/>
                </a:solidFill>
              </a:ln>
              <a:effectLst/>
            </c:spPr>
            <c:extLst>
              <c:ext xmlns:c16="http://schemas.microsoft.com/office/drawing/2014/chart" uri="{C3380CC4-5D6E-409C-BE32-E72D297353CC}">
                <c16:uniqueId val="{00000016-2614-4D5D-8D4D-4F332B151DA8}"/>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18-2614-4D5D-8D4D-4F332B151DA8}"/>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1A-2614-4D5D-8D4D-4F332B151DA8}"/>
              </c:ext>
            </c:extLst>
          </c:dPt>
          <c:cat>
            <c:strRef>
              <c:f>Sheet1!$C$2:$E$2</c:f>
              <c:strCache>
                <c:ptCount val="3"/>
                <c:pt idx="0">
                  <c:v>YES</c:v>
                </c:pt>
                <c:pt idx="1">
                  <c:v>NO</c:v>
                </c:pt>
                <c:pt idx="2">
                  <c:v>OTHER</c:v>
                </c:pt>
              </c:strCache>
            </c:strRef>
          </c:cat>
          <c:val>
            <c:numRef>
              <c:f>Sheet1!$C$14:$E$14</c:f>
              <c:numCache>
                <c:formatCode>General</c:formatCode>
                <c:ptCount val="3"/>
              </c:numCache>
            </c:numRef>
          </c:val>
          <c:extLst>
            <c:ext xmlns:c16="http://schemas.microsoft.com/office/drawing/2014/chart" uri="{C3380CC4-5D6E-409C-BE32-E72D297353CC}">
              <c16:uniqueId val="{0000001B-2614-4D5D-8D4D-4F332B151DA8}"/>
            </c:ext>
          </c:extLst>
        </c:ser>
        <c:ser>
          <c:idx val="4"/>
          <c:order val="4"/>
          <c:dPt>
            <c:idx val="0"/>
            <c:bubble3D val="0"/>
            <c:spPr>
              <a:solidFill>
                <a:schemeClr val="accent1"/>
              </a:solidFill>
              <a:ln w="19050">
                <a:solidFill>
                  <a:schemeClr val="lt1"/>
                </a:solidFill>
              </a:ln>
              <a:effectLst/>
            </c:spPr>
            <c:extLst>
              <c:ext xmlns:c16="http://schemas.microsoft.com/office/drawing/2014/chart" uri="{C3380CC4-5D6E-409C-BE32-E72D297353CC}">
                <c16:uniqueId val="{0000001D-2614-4D5D-8D4D-4F332B151DA8}"/>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1F-2614-4D5D-8D4D-4F332B151DA8}"/>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21-2614-4D5D-8D4D-4F332B151DA8}"/>
              </c:ext>
            </c:extLst>
          </c:dPt>
          <c:cat>
            <c:strRef>
              <c:f>Sheet1!$C$2:$E$2</c:f>
              <c:strCache>
                <c:ptCount val="3"/>
                <c:pt idx="0">
                  <c:v>YES</c:v>
                </c:pt>
                <c:pt idx="1">
                  <c:v>NO</c:v>
                </c:pt>
                <c:pt idx="2">
                  <c:v>OTHER</c:v>
                </c:pt>
              </c:strCache>
            </c:strRef>
          </c:cat>
          <c:val>
            <c:numRef>
              <c:f>Sheet1!$C$11:$E$11</c:f>
              <c:numCache>
                <c:formatCode>General</c:formatCode>
                <c:ptCount val="3"/>
                <c:pt idx="0">
                  <c:v>4</c:v>
                </c:pt>
                <c:pt idx="1">
                  <c:v>6</c:v>
                </c:pt>
                <c:pt idx="2">
                  <c:v>0</c:v>
                </c:pt>
              </c:numCache>
            </c:numRef>
          </c:val>
          <c:extLst>
            <c:ext xmlns:c16="http://schemas.microsoft.com/office/drawing/2014/chart" uri="{C3380CC4-5D6E-409C-BE32-E72D297353CC}">
              <c16:uniqueId val="{00000022-2614-4D5D-8D4D-4F332B151DA8}"/>
            </c:ext>
          </c:extLst>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0.77161646752197932"/>
          <c:y val="1.909667541557301E-2"/>
          <c:w val="0.2248969403300112"/>
          <c:h val="0.96409280390753271"/>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BE"/>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BE"/>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Q6</a:t>
            </a:r>
          </a:p>
        </c:rich>
      </c:tx>
      <c:layout>
        <c:manualLayout>
          <c:xMode val="edge"/>
          <c:yMode val="edge"/>
          <c:x val="2.0623359580052162E-3"/>
          <c:y val="1.3888888888888888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BE"/>
        </a:p>
      </c:txPr>
    </c:title>
    <c:autoTitleDeleted val="0"/>
    <c:plotArea>
      <c:layout>
        <c:manualLayout>
          <c:layoutTarget val="inner"/>
          <c:xMode val="edge"/>
          <c:yMode val="edge"/>
          <c:x val="0.20411832895888016"/>
          <c:y val="1.4305555555555571E-2"/>
          <c:w val="0.58620800524934369"/>
          <c:h val="0.97701334208223956"/>
        </c:manualLayout>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A221-40C9-9DBE-8629F849BA7A}"/>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A221-40C9-9DBE-8629F849BA7A}"/>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A221-40C9-9DBE-8629F849BA7A}"/>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BE"/>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Sheet1!$C$2:$E$2</c:f>
              <c:strCache>
                <c:ptCount val="3"/>
                <c:pt idx="0">
                  <c:v>YES</c:v>
                </c:pt>
                <c:pt idx="1">
                  <c:v>NO</c:v>
                </c:pt>
                <c:pt idx="2">
                  <c:v>OTHER</c:v>
                </c:pt>
              </c:strCache>
            </c:strRef>
          </c:cat>
          <c:val>
            <c:numRef>
              <c:f>Sheet1!$C$13:$E$13</c:f>
              <c:numCache>
                <c:formatCode>General</c:formatCode>
                <c:ptCount val="3"/>
                <c:pt idx="0">
                  <c:v>4</c:v>
                </c:pt>
                <c:pt idx="1">
                  <c:v>3</c:v>
                </c:pt>
                <c:pt idx="2">
                  <c:v>3</c:v>
                </c:pt>
              </c:numCache>
            </c:numRef>
          </c:val>
          <c:extLst>
            <c:ext xmlns:c16="http://schemas.microsoft.com/office/drawing/2014/chart" uri="{C3380CC4-5D6E-409C-BE32-E72D297353CC}">
              <c16:uniqueId val="{00000006-A221-40C9-9DBE-8629F849BA7A}"/>
            </c:ext>
          </c:extLst>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0.80408824771029497"/>
          <c:y val="1.909667541557301E-2"/>
          <c:w val="0.19520290732889159"/>
          <c:h val="0.98090303929400124"/>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BE"/>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BE"/>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Q7</a:t>
            </a:r>
          </a:p>
        </c:rich>
      </c:tx>
      <c:layout>
        <c:manualLayout>
          <c:xMode val="edge"/>
          <c:yMode val="edge"/>
          <c:x val="2.0623359580052162E-3"/>
          <c:y val="9.2592592592592587E-3"/>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BE"/>
        </a:p>
      </c:txPr>
    </c:title>
    <c:autoTitleDeleted val="0"/>
    <c:plotArea>
      <c:layout>
        <c:manualLayout>
          <c:layoutTarget val="inner"/>
          <c:xMode val="edge"/>
          <c:yMode val="edge"/>
          <c:x val="0.20967388451443569"/>
          <c:y val="2.356481481481483E-2"/>
          <c:w val="0.58065244969378826"/>
          <c:h val="0.96775408282298048"/>
        </c:manualLayout>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BCA0-4B45-AB4D-B34546461A7E}"/>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BCA0-4B45-AB4D-B34546461A7E}"/>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BCA0-4B45-AB4D-B34546461A7E}"/>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BE"/>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Sheet1!$C$2:$E$2</c:f>
              <c:strCache>
                <c:ptCount val="3"/>
                <c:pt idx="0">
                  <c:v>YES</c:v>
                </c:pt>
                <c:pt idx="1">
                  <c:v>NO</c:v>
                </c:pt>
                <c:pt idx="2">
                  <c:v>OTHER</c:v>
                </c:pt>
              </c:strCache>
            </c:strRef>
          </c:cat>
          <c:val>
            <c:numRef>
              <c:f>Sheet1!$C$15:$E$15</c:f>
              <c:numCache>
                <c:formatCode>General</c:formatCode>
                <c:ptCount val="3"/>
                <c:pt idx="0">
                  <c:v>4</c:v>
                </c:pt>
                <c:pt idx="1">
                  <c:v>5</c:v>
                </c:pt>
                <c:pt idx="2">
                  <c:v>1</c:v>
                </c:pt>
              </c:numCache>
            </c:numRef>
          </c:val>
          <c:extLst>
            <c:ext xmlns:c16="http://schemas.microsoft.com/office/drawing/2014/chart" uri="{C3380CC4-5D6E-409C-BE32-E72D297353CC}">
              <c16:uniqueId val="{00000006-BCA0-4B45-AB4D-B34546461A7E}"/>
            </c:ext>
          </c:extLst>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0.80012430737824436"/>
          <c:y val="5.7815689705449278E-4"/>
          <c:w val="0.19916703120443277"/>
          <c:h val="0.9151474709729080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BE"/>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BE"/>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10</Pages>
  <Words>3815</Words>
  <Characters>21751</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Clayton</dc:creator>
  <cp:keywords/>
  <dc:description/>
  <cp:lastModifiedBy>Rick Clayton</cp:lastModifiedBy>
  <cp:revision>3</cp:revision>
  <cp:lastPrinted>2021-06-21T13:46:00Z</cp:lastPrinted>
  <dcterms:created xsi:type="dcterms:W3CDTF">2021-05-11T11:33:00Z</dcterms:created>
  <dcterms:modified xsi:type="dcterms:W3CDTF">2021-06-21T14:59:00Z</dcterms:modified>
</cp:coreProperties>
</file>